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jc w:val="center"/>
      </w:pPr>
      <w:r>
        <w:drawing>
          <wp:inline xmlns:a="http://schemas.openxmlformats.org/drawingml/2006/main" xmlns:pic="http://schemas.openxmlformats.org/drawingml/2006/picture">
            <wp:extent cx="7424927" cy="10378440"/>
            <wp:docPr id="1" name="Picture 1"/>
            <wp:cNvGraphicFramePr>
              <a:graphicFrameLocks noChangeAspect="1"/>
            </wp:cNvGraphicFramePr>
            <a:graphic>
              <a:graphicData uri="http://schemas.openxmlformats.org/drawingml/2006/picture">
                <pic:pic>
                  <pic:nvPicPr>
                    <pic:cNvPr id="0" name="cover.png"/>
                    <pic:cNvPicPr/>
                  </pic:nvPicPr>
                  <pic:blipFill>
                    <a:blip r:embed="rId9"/>
                    <a:stretch>
                      <a:fillRect/>
                    </a:stretch>
                  </pic:blipFill>
                  <pic:spPr>
                    <a:xfrm>
                      <a:off x="0" y="0"/>
                      <a:ext cx="7424927" cy="10378440"/>
                    </a:xfrm>
                    <a:prstGeom prst="rect"/>
                  </pic:spPr>
                </pic:pic>
              </a:graphicData>
            </a:graphic>
          </wp:inline>
        </w:drawing>
      </w:r>
    </w:p>
    <w:p>
      <w:pPr>
        <w:pStyle w:val="Heading1"/>
      </w:pPr>
      <w:r>
        <w:t>Important Notice</w:t>
      </w:r>
    </w:p>
    <w:p>
      <w:pPr>
        <w:jc w:val="left"/>
      </w:pPr>
      <w:r>
        <w:rPr>
          <w:b/>
          <w:color w:val="5A6778"/>
          <w:sz w:val="22"/>
        </w:rPr>
        <w:t>Draft status, scope, and legal limitations</w:t>
      </w:r>
    </w:p>
    <w:tbl>
      <w:tblPr>
        <w:tblW w:type="auto" w:w="0"/>
        <w:jc w:val="center"/>
        <w:tblLook w:firstColumn="1" w:firstRow="1" w:lastColumn="0" w:lastRow="0" w:noHBand="0" w:noVBand="1" w:val="04A0"/>
      </w:tblPr>
      <w:tblGrid>
        <w:gridCol w:w="10166"/>
      </w:tblGrid>
      <w:tr>
        <w:tc>
          <w:tcPr>
            <w:tcW w:type="dxa" w:w="10166"/>
            <w:shd w:fill="FFF7D6"/>
            <w:tcMar>
              <w:top w:w="140" w:type="dxa"/>
              <w:start w:w="170" w:type="dxa"/>
              <w:bottom w:w="140" w:type="dxa"/>
              <w:end w:w="170" w:type="dxa"/>
            </w:tcMar>
          </w:tcPr>
          <w:p>
            <w:r>
              <w:rPr>
                <w:b/>
                <w:color w:val="C99916"/>
              </w:rPr>
              <w:t>Draft document</w:t>
              <w:br/>
            </w:r>
            <w:r>
              <w:t>This whitepaper is a technical and product design document. It is not an offer of securities, a promise of financial return, or investment advice.</w:t>
            </w:r>
          </w:p>
        </w:tc>
      </w:tr>
    </w:tbl>
    <w:p>
      <w:pPr>
        <w:spacing w:after="0"/>
      </w:pPr>
    </w:p>
    <w:p>
      <w:r>
        <w:t>KPOW Chain, the KPOW coin, KpowBIT Exchange, and the planned Mining Rental Platform are under active design and development. Chain parameters, token distribution controls, presale terms, activation dates, marketplace rules, and regulatory availability may change following engineering review, public testnet results, security assessments, partner readiness, market conditions, and applicable laws.</w:t>
      </w:r>
    </w:p>
    <w:p>
      <w:r>
        <w:t>Mining, digital assets, token sales, and trading involve substantial risks. Mining output depends on hardware, difficulty, network conditions, pool performance, electricity, token prices, and other variables. KpowBIT does not guarantee profitability, token value, exchange liquidity, uninterrupted service, or completion of roadmap items on a fixed date.</w:t>
      </w:r>
    </w:p>
    <w:p>
      <w:r>
        <w:t>Prospective users, miners, providers, purchasers, and contributors should conduct independent technical, financial, tax, and legal review. Participation may be restricted in some jurisdictions. KYC, sanctions screening, eligibility rules, and additional disclosures may apply.</w:t>
      </w:r>
    </w:p>
    <w:tbl>
      <w:tblPr>
        <w:tblStyle w:val="TableGrid"/>
        <w:tblW w:type="auto" w:w="0"/>
        <w:jc w:val="center"/>
        <w:tblLook w:firstColumn="1" w:firstRow="1" w:lastColumn="0" w:lastRow="0" w:noHBand="0" w:noVBand="1" w:val="04A0"/>
      </w:tblPr>
      <w:tblGrid>
        <w:gridCol w:w="5083"/>
        <w:gridCol w:w="5083"/>
      </w:tblGrid>
      <w:tr>
        <w:trPr>
          <w:tblHeader w:val="true"/>
        </w:trPr>
        <w:tc>
          <w:tcPr>
            <w:tcW w:type="dxa" w:w="5083"/>
            <w:shd w:fill="0B1728"/>
            <w:tcMar>
              <w:top w:w="100" w:type="dxa"/>
              <w:start w:w="120" w:type="dxa"/>
              <w:bottom w:w="100" w:type="dxa"/>
              <w:end w:w="120" w:type="dxa"/>
            </w:tcMar>
            <w:vAlign w:val="center"/>
          </w:tcPr>
          <w:p>
            <w:pPr>
              <w:jc w:val="left"/>
            </w:pPr>
            <w:r>
              <w:rPr>
                <w:b/>
                <w:color w:val="FFFFFF"/>
                <w:sz w:val="17"/>
              </w:rPr>
              <w:t>Document field</w:t>
            </w:r>
          </w:p>
        </w:tc>
        <w:tc>
          <w:tcPr>
            <w:tcW w:type="dxa" w:w="5083"/>
            <w:shd w:fill="0B1728"/>
            <w:tcMar>
              <w:top w:w="100" w:type="dxa"/>
              <w:start w:w="120" w:type="dxa"/>
              <w:bottom w:w="100" w:type="dxa"/>
              <w:end w:w="120" w:type="dxa"/>
            </w:tcMar>
            <w:vAlign w:val="center"/>
          </w:tcPr>
          <w:p>
            <w:pPr>
              <w:jc w:val="left"/>
            </w:pPr>
            <w:r>
              <w:rPr>
                <w:b/>
                <w:color w:val="FFFFFF"/>
                <w:sz w:val="17"/>
              </w:rPr>
              <w:t>Value</w:t>
            </w:r>
          </w:p>
        </w:tc>
      </w:tr>
      <w:tr>
        <w:tc>
          <w:tcPr>
            <w:tcW w:type="dxa" w:w="5083"/>
            <w:tcMar>
              <w:top w:w="100" w:type="dxa"/>
              <w:start w:w="120" w:type="dxa"/>
              <w:bottom w:w="100" w:type="dxa"/>
              <w:end w:w="120" w:type="dxa"/>
            </w:tcMar>
            <w:vAlign w:val="center"/>
          </w:tcPr>
          <w:p>
            <w:r>
              <w:rPr>
                <w:sz w:val="16"/>
              </w:rPr>
              <w:t>Version</w:t>
            </w:r>
          </w:p>
        </w:tc>
        <w:tc>
          <w:tcPr>
            <w:tcW w:type="dxa" w:w="5083"/>
            <w:tcMar>
              <w:top w:w="100" w:type="dxa"/>
              <w:start w:w="120" w:type="dxa"/>
              <w:bottom w:w="100" w:type="dxa"/>
              <w:end w:w="120" w:type="dxa"/>
            </w:tcMar>
            <w:vAlign w:val="center"/>
          </w:tcPr>
          <w:p>
            <w:pPr>
              <w:spacing w:after="0"/>
            </w:pPr>
            <w:r/>
            <w:r>
              <w:rPr>
                <w:rFonts w:ascii="Aptos" w:hAnsi="Aptos"/>
                <w:b w:val="0"/>
                <w:sz w:val="17"/>
              </w:rPr>
              <w:t>Draft v0.3</w:t>
            </w:r>
          </w:p>
        </w:tc>
      </w:tr>
      <w:tr>
        <w:tc>
          <w:tcPr>
            <w:tcW w:type="dxa" w:w="5083"/>
            <w:tcMar>
              <w:top w:w="100" w:type="dxa"/>
              <w:start w:w="120" w:type="dxa"/>
              <w:bottom w:w="100" w:type="dxa"/>
              <w:end w:w="120" w:type="dxa"/>
            </w:tcMar>
            <w:shd w:fill="F5F7FA"/>
            <w:vAlign w:val="center"/>
          </w:tcPr>
          <w:p>
            <w:r>
              <w:rPr>
                <w:sz w:val="16"/>
              </w:rPr>
              <w:t>Publication date</w:t>
            </w:r>
          </w:p>
        </w:tc>
        <w:tc>
          <w:tcPr>
            <w:tcW w:type="dxa" w:w="5083"/>
            <w:tcMar>
              <w:top w:w="100" w:type="dxa"/>
              <w:start w:w="120" w:type="dxa"/>
              <w:bottom w:w="100" w:type="dxa"/>
              <w:end w:w="120" w:type="dxa"/>
            </w:tcMar>
            <w:shd w:fill="F5F7FA"/>
            <w:vAlign w:val="center"/>
          </w:tcPr>
          <w:p>
            <w:pPr>
              <w:spacing w:after="0"/>
            </w:pPr>
            <w:r/>
            <w:r>
              <w:rPr>
                <w:rFonts w:ascii="Aptos" w:hAnsi="Aptos"/>
                <w:b w:val="0"/>
                <w:sz w:val="17"/>
              </w:rPr>
              <w:t>July 2026</w:t>
            </w:r>
          </w:p>
        </w:tc>
      </w:tr>
      <w:tr>
        <w:tc>
          <w:tcPr>
            <w:tcW w:type="dxa" w:w="5083"/>
            <w:tcMar>
              <w:top w:w="100" w:type="dxa"/>
              <w:start w:w="120" w:type="dxa"/>
              <w:bottom w:w="100" w:type="dxa"/>
              <w:end w:w="120" w:type="dxa"/>
            </w:tcMar>
            <w:vAlign w:val="center"/>
          </w:tcPr>
          <w:p>
            <w:r>
              <w:rPr>
                <w:sz w:val="16"/>
              </w:rPr>
              <w:t>Language</w:t>
            </w:r>
          </w:p>
        </w:tc>
        <w:tc>
          <w:tcPr>
            <w:tcW w:type="dxa" w:w="5083"/>
            <w:tcMar>
              <w:top w:w="100" w:type="dxa"/>
              <w:start w:w="120" w:type="dxa"/>
              <w:bottom w:w="100" w:type="dxa"/>
              <w:end w:w="120" w:type="dxa"/>
            </w:tcMar>
            <w:vAlign w:val="center"/>
          </w:tcPr>
          <w:p>
            <w:r>
              <w:rPr>
                <w:sz w:val="16"/>
              </w:rPr>
              <w:t>English</w:t>
            </w:r>
          </w:p>
        </w:tc>
      </w:tr>
      <w:tr>
        <w:tc>
          <w:tcPr>
            <w:tcW w:type="dxa" w:w="5083"/>
            <w:tcMar>
              <w:top w:w="100" w:type="dxa"/>
              <w:start w:w="120" w:type="dxa"/>
              <w:bottom w:w="100" w:type="dxa"/>
              <w:end w:w="120" w:type="dxa"/>
            </w:tcMar>
            <w:shd w:fill="F5F7FA"/>
            <w:vAlign w:val="center"/>
          </w:tcPr>
          <w:p>
            <w:r>
              <w:rPr>
                <w:sz w:val="16"/>
              </w:rPr>
              <w:t>Project website</w:t>
            </w:r>
          </w:p>
        </w:tc>
        <w:tc>
          <w:tcPr>
            <w:tcW w:type="dxa" w:w="5083"/>
            <w:tcMar>
              <w:top w:w="100" w:type="dxa"/>
              <w:start w:w="120" w:type="dxa"/>
              <w:bottom w:w="100" w:type="dxa"/>
              <w:end w:w="120" w:type="dxa"/>
            </w:tcMar>
            <w:shd w:fill="F5F7FA"/>
            <w:vAlign w:val="center"/>
          </w:tcPr>
          <w:p>
            <w:r>
              <w:rPr>
                <w:sz w:val="16"/>
              </w:rPr>
              <w:t>kpowbit.com</w:t>
            </w:r>
          </w:p>
        </w:tc>
      </w:tr>
      <w:tr>
        <w:tc>
          <w:tcPr>
            <w:tcW w:type="dxa" w:w="5083"/>
            <w:tcMar>
              <w:top w:w="100" w:type="dxa"/>
              <w:start w:w="120" w:type="dxa"/>
              <w:bottom w:w="100" w:type="dxa"/>
              <w:end w:w="120" w:type="dxa"/>
            </w:tcMar>
            <w:vAlign w:val="center"/>
          </w:tcPr>
          <w:p>
            <w:r>
              <w:rPr>
                <w:sz w:val="16"/>
              </w:rPr>
              <w:t>Exchange access</w:t>
            </w:r>
          </w:p>
        </w:tc>
        <w:tc>
          <w:tcPr>
            <w:tcW w:type="dxa" w:w="5083"/>
            <w:tcMar>
              <w:top w:w="100" w:type="dxa"/>
              <w:start w:w="120" w:type="dxa"/>
              <w:bottom w:w="100" w:type="dxa"/>
              <w:end w:w="120" w:type="dxa"/>
            </w:tcMar>
            <w:vAlign w:val="center"/>
          </w:tcPr>
          <w:p>
            <w:r>
              <w:rPr>
                <w:sz w:val="16"/>
              </w:rPr>
              <w:t>trade.kpowbit.com</w:t>
            </w:r>
          </w:p>
        </w:tc>
      </w:tr>
      <w:tr>
        <w:tc>
          <w:tcPr>
            <w:tcW w:type="dxa" w:w="5083"/>
            <w:tcMar>
              <w:top w:w="100" w:type="dxa"/>
              <w:start w:w="120" w:type="dxa"/>
              <w:bottom w:w="100" w:type="dxa"/>
              <w:end w:w="120" w:type="dxa"/>
            </w:tcMar>
            <w:shd w:fill="F5F7FA"/>
            <w:vAlign w:val="center"/>
          </w:tcPr>
          <w:p>
            <w:r>
              <w:rPr>
                <w:sz w:val="16"/>
              </w:rPr>
              <w:t>Chain parameter status</w:t>
            </w:r>
          </w:p>
        </w:tc>
        <w:tc>
          <w:tcPr>
            <w:tcW w:type="dxa" w:w="5083"/>
            <w:tcMar>
              <w:top w:w="100" w:type="dxa"/>
              <w:start w:w="120" w:type="dxa"/>
              <w:bottom w:w="100" w:type="dxa"/>
              <w:end w:w="120" w:type="dxa"/>
            </w:tcMar>
            <w:shd w:fill="F5F7FA"/>
            <w:vAlign w:val="center"/>
          </w:tcPr>
          <w:p>
            <w:r>
              <w:rPr>
                <w:sz w:val="16"/>
              </w:rPr>
              <w:t>Proposed; pending public testnet validation</w:t>
            </w:r>
          </w:p>
        </w:tc>
      </w:tr>
      <w:tr>
        <w:tc>
          <w:tcPr>
            <w:tcW w:type="dxa" w:w="5083"/>
            <w:tcMar>
              <w:top w:w="100" w:type="dxa"/>
              <w:start w:w="120" w:type="dxa"/>
              <w:bottom w:w="100" w:type="dxa"/>
              <w:end w:w="120" w:type="dxa"/>
            </w:tcMar>
            <w:vAlign w:val="center"/>
          </w:tcPr>
          <w:p>
            <w:r>
              <w:rPr>
                <w:sz w:val="16"/>
              </w:rPr>
              <w:t>Maximum supply</w:t>
            </w:r>
          </w:p>
        </w:tc>
        <w:tc>
          <w:tcPr>
            <w:tcW w:type="dxa" w:w="5083"/>
            <w:tcMar>
              <w:top w:w="100" w:type="dxa"/>
              <w:start w:w="120" w:type="dxa"/>
              <w:bottom w:w="100" w:type="dxa"/>
              <w:end w:w="120" w:type="dxa"/>
            </w:tcMar>
            <w:vAlign w:val="center"/>
          </w:tcPr>
          <w:p>
            <w:r>
              <w:rPr>
                <w:sz w:val="16"/>
              </w:rPr>
              <w:t>21,000,000 KPOW</w:t>
            </w:r>
          </w:p>
        </w:tc>
      </w:tr>
    </w:tbl>
    <w:p>
      <w:pPr>
        <w:spacing w:after="20"/>
      </w:pPr>
    </w:p>
    <w:p>
      <w:r>
        <w:br w:type="page"/>
      </w:r>
    </w:p>
    <w:p>
      <w:pPr/>
      <w:r>
        <w:t>This draft includes proposed public RPC and wallet settings for documentation purposes. Endpoint hostnames, project wallets, source releases, genesis files, and binaries must be verified through official signed announcements before use.</w:t>
      </w:r>
    </w:p>
    <w:p>
      <w:pPr>
        <w:pStyle w:val="Heading1"/>
      </w:pPr>
      <w:r>
        <w:t>Contents</w:t>
      </w:r>
    </w:p>
    <w:p>
      <w:pPr>
        <w:jc w:val="left"/>
      </w:pPr>
      <w:r>
        <w:rPr>
          <w:b/>
          <w:color w:val="5A6778"/>
          <w:sz w:val="22"/>
        </w:rPr>
        <w:t>Whitepaper structure</w:t>
      </w:r>
    </w:p>
    <w:p>
      <w:pPr>
        <w:pStyle w:val="ListNumber"/>
        <w:ind w:left="403" w:hanging="202"/>
      </w:pPr>
      <w:r>
        <w:t>Executive Summary</w:t>
      </w:r>
    </w:p>
    <w:p>
      <w:pPr>
        <w:pStyle w:val="ListNumber"/>
        <w:ind w:left="403" w:hanging="202"/>
      </w:pPr>
      <w:r>
        <w:t>Vision and Design Principles</w:t>
      </w:r>
    </w:p>
    <w:p>
      <w:pPr>
        <w:pStyle w:val="ListNumber"/>
        <w:ind w:left="403" w:hanging="202"/>
      </w:pPr>
      <w:r>
        <w:t>Market Context and Problem</w:t>
      </w:r>
    </w:p>
    <w:p>
      <w:pPr>
        <w:pStyle w:val="ListNumber"/>
        <w:ind w:left="403" w:hanging="202"/>
      </w:pPr>
      <w:r>
        <w:t>KPOW / KpowBIT Ecosystem</w:t>
      </w:r>
    </w:p>
    <w:p>
      <w:pPr>
        <w:pStyle w:val="ListNumber"/>
        <w:ind w:left="403" w:hanging="202"/>
      </w:pPr>
      <w:r>
        <w:t>KPOW Chain Architecture</w:t>
      </w:r>
    </w:p>
    <w:p>
      <w:pPr>
        <w:pStyle w:val="ListNumber"/>
        <w:ind w:left="403" w:hanging="202"/>
      </w:pPr>
      <w:r>
        <w:t>Network Parameters</w:t>
      </w:r>
    </w:p>
    <w:p>
      <w:pPr>
        <w:pStyle w:val="ListNumber"/>
        <w:ind w:left="403" w:hanging="202"/>
      </w:pPr>
      <w:r>
        <w:t>Monetary Policy and Mining Schedule</w:t>
      </w:r>
    </w:p>
    <w:p>
      <w:pPr>
        <w:pStyle w:val="ListNumber"/>
        <w:ind w:left="403" w:hanging="202"/>
      </w:pPr>
      <w:r>
        <w:t>Tokenomics and Distribution</w:t>
      </w:r>
    </w:p>
    <w:p>
      <w:pPr>
        <w:pStyle w:val="ListNumber"/>
        <w:ind w:left="403" w:hanging="202"/>
      </w:pPr>
      <w:r>
        <w:t>Presale Framework</w:t>
      </w:r>
    </w:p>
    <w:p>
      <w:pPr>
        <w:pStyle w:val="ListNumber"/>
        <w:ind w:left="403" w:hanging="202"/>
      </w:pPr>
      <w:r>
        <w:t>KpowBIT Exchange</w:t>
      </w:r>
    </w:p>
    <w:p>
      <w:pPr>
        <w:pStyle w:val="ListNumber"/>
        <w:ind w:left="403" w:hanging="202"/>
      </w:pPr>
      <w:r>
        <w:t>Mining Rental Platform</w:t>
      </w:r>
    </w:p>
    <w:p>
      <w:pPr>
        <w:pStyle w:val="ListNumber"/>
        <w:ind w:left="403" w:hanging="202"/>
      </w:pPr>
      <w:r>
        <w:t>KPOW Utility</w:t>
      </w:r>
    </w:p>
    <w:p>
      <w:pPr>
        <w:pStyle w:val="ListNumber"/>
        <w:ind w:left="403" w:hanging="202"/>
      </w:pPr>
      <w:r>
        <w:t>Security and Risk Controls</w:t>
      </w:r>
    </w:p>
    <w:p>
      <w:pPr>
        <w:pStyle w:val="ListNumber"/>
        <w:ind w:left="403" w:hanging="202"/>
      </w:pPr>
      <w:r>
        <w:t>Governance and Treasury Transparency</w:t>
      </w:r>
    </w:p>
    <w:p>
      <w:pPr>
        <w:pStyle w:val="ListNumber"/>
        <w:ind w:left="403" w:hanging="202"/>
      </w:pPr>
      <w:r>
        <w:t>Era Plan</w:t>
      </w:r>
    </w:p>
    <w:p>
      <w:pPr>
        <w:pStyle w:val="ListNumber"/>
        <w:ind w:left="403" w:hanging="202"/>
      </w:pPr>
      <w:r>
        <w:t>Risk Factors</w:t>
      </w:r>
    </w:p>
    <w:p>
      <w:pPr>
        <w:pStyle w:val="ListNumber"/>
        <w:ind w:left="403" w:hanging="202"/>
      </w:pPr>
      <w:r>
        <w:t>Legal and Regulatory Considerations</w:t>
      </w:r>
    </w:p>
    <w:p>
      <w:pPr>
        <w:pStyle w:val="ListNumber"/>
        <w:ind w:left="403" w:hanging="202"/>
      </w:pPr>
      <w:r>
        <w:t>Monetary Calculations</w:t>
      </w:r>
    </w:p>
    <w:p>
      <w:pPr>
        <w:pStyle w:val="ListNumber"/>
        <w:ind w:left="403" w:hanging="202"/>
      </w:pPr>
      <w:r>
        <w:t>Terminology</w:t>
      </w:r>
    </w:p>
    <w:p>
      <w:pPr>
        <w:pStyle w:val="ListNumber"/>
        <w:ind w:left="403" w:hanging="202"/>
      </w:pPr>
      <w:r>
        <w:t>Pre-Mainnet Checklist</w:t>
      </w:r>
    </w:p>
    <w:tbl>
      <w:tblPr>
        <w:tblW w:type="auto" w:w="0"/>
        <w:jc w:val="center"/>
        <w:tblLook w:firstColumn="1" w:firstRow="1" w:lastColumn="0" w:lastRow="0" w:noHBand="0" w:noVBand="1" w:val="04A0"/>
      </w:tblPr>
      <w:tblGrid>
        <w:gridCol w:w="10166"/>
      </w:tblGrid>
      <w:tr>
        <w:tc>
          <w:tcPr>
            <w:tcW w:type="dxa" w:w="10166"/>
            <w:shd w:fill="FFF7D6"/>
            <w:tcMar>
              <w:top w:w="140" w:type="dxa"/>
              <w:start w:w="170" w:type="dxa"/>
              <w:bottom w:w="140" w:type="dxa"/>
              <w:end w:w="170" w:type="dxa"/>
            </w:tcMar>
          </w:tcPr>
          <w:p>
            <w:r>
              <w:rPr>
                <w:b/>
                <w:color w:val="C99916"/>
              </w:rPr>
              <w:t>Reading guide</w:t>
              <w:br/>
            </w:r>
            <w:r>
              <w:t>Sections 5-8 describe the proposed chain and monetary design. Sections 9-11 describe product delivery. Sections 13-17 describe controls, governance, roadmap, and risk.</w:t>
            </w:r>
          </w:p>
        </w:tc>
      </w:tr>
    </w:tbl>
    <w:p>
      <w:pPr>
        <w:spacing w:after="0"/>
      </w:pPr>
    </w:p>
    <w:p>
      <w:r>
        <w:br w:type="page"/>
      </w:r>
    </w:p>
    <w:p>
      <w:pPr>
        <w:pStyle w:val="Heading1"/>
      </w:pPr>
      <w:r>
        <w:t>1. Executive Summary</w:t>
      </w:r>
    </w:p>
    <w:p>
      <w:pPr>
        <w:jc w:val="left"/>
      </w:pPr>
      <w:r>
        <w:rPr>
          <w:b/>
          <w:color w:val="5A6778"/>
          <w:sz w:val="22"/>
        </w:rPr>
        <w:t>Programmable Proof of Work for mining and digital asset markets</w:t>
      </w:r>
    </w:p>
    <w:p>
      <w:r>
        <w:t>KPOW is proposed as a fixed-supply, EVM-compatible Proof-of-Work coin and settlement network. KpowBIT is the product ecosystem built around that network, beginning with a presale, followed by a digital asset exchange, and expanding into a two-sided mining rental marketplace targeted for approximately Q2 2027.</w:t>
      </w:r>
    </w:p>
    <w:p>
      <w:r>
        <w:t>The proposed maximum supply is 21,000,000 KPOW. Seventy percent - 14,700,000 KPOW - is emitted through valid Proof-of-Work blocks. Twenty percent - 4,200,000 KPOW - is reserved for ecosystem development and liquidity. Ten percent - 2,100,000 KPOW - is reserved for the development fund.</w:t>
      </w:r>
    </w:p>
    <w:p>
      <w:r>
        <w:t>The target block reward is 4 KPOW, the target block time is 30 seconds, and the mining reward ends at block 3,675,000. At the target block interval, protocol mining lasts approximately 3.5 years. The design does not require a halving schedule: the full mining allocation is emitted at a constant block reward until the terminal reward block.</w:t>
      </w:r>
    </w:p>
    <w:tbl>
      <w:tblPr>
        <w:tblStyle w:val="TableGrid"/>
        <w:tblW w:type="auto" w:w="0"/>
        <w:jc w:val="center"/>
        <w:tblLayout w:type="autofit"/>
        <w:tblLook w:firstColumn="1" w:firstRow="1" w:lastColumn="0" w:lastRow="0" w:noHBand="0" w:noVBand="1" w:val="04A0"/>
      </w:tblPr>
      <w:tblGrid>
        <w:gridCol w:w="5083"/>
        <w:gridCol w:w="5083"/>
      </w:tblGrid>
      <w:tr>
        <w:trPr>
          <w:tblHeader w:val="true"/>
        </w:trPr>
        <w:tc>
          <w:tcPr>
            <w:tcW w:type="dxa" w:w="5083"/>
            <w:shd w:fill="0A1B2D"/>
            <w:tcMar>
              <w:top w:w="90" w:type="dxa"/>
              <w:start w:w="90" w:type="dxa"/>
              <w:bottom w:w="90" w:type="dxa"/>
              <w:end w:w="90" w:type="dxa"/>
            </w:tcMar>
            <w:vAlign w:val="center"/>
          </w:tcPr>
          <w:p>
            <w:pPr>
              <w:jc w:val="left"/>
            </w:pPr>
            <w:r>
              <w:rPr>
                <w:b/>
                <w:color w:val="FFFFFF"/>
                <w:sz w:val="16"/>
              </w:rPr>
              <w:t>Core parameter</w:t>
            </w:r>
          </w:p>
        </w:tc>
        <w:tc>
          <w:tcPr>
            <w:tcW w:type="dxa" w:w="5083"/>
            <w:shd w:fill="0A1B2D"/>
            <w:tcMar>
              <w:top w:w="90" w:type="dxa"/>
              <w:start w:w="90" w:type="dxa"/>
              <w:bottom w:w="90" w:type="dxa"/>
              <w:end w:w="90" w:type="dxa"/>
            </w:tcMar>
            <w:vAlign w:val="center"/>
          </w:tcPr>
          <w:p>
            <w:pPr>
              <w:jc w:val="left"/>
            </w:pPr>
            <w:r>
              <w:rPr>
                <w:b/>
                <w:color w:val="FFFFFF"/>
                <w:sz w:val="16"/>
              </w:rPr>
              <w:t>Proposed value</w:t>
            </w:r>
          </w:p>
        </w:tc>
      </w:tr>
      <w:tr>
        <w:tc>
          <w:tcPr>
            <w:tcW w:type="dxa" w:w="5083"/>
            <w:tcMar>
              <w:top w:w="90" w:type="dxa"/>
              <w:start w:w="90" w:type="dxa"/>
              <w:bottom w:w="90" w:type="dxa"/>
              <w:end w:w="90" w:type="dxa"/>
            </w:tcMar>
            <w:vAlign w:val="center"/>
          </w:tcPr>
          <w:p>
            <w:pPr>
              <w:spacing w:after="0"/>
            </w:pPr>
            <w:r>
              <w:rPr>
                <w:rFonts w:ascii="Aptos" w:hAnsi="Aptos"/>
                <w:sz w:val="16"/>
              </w:rPr>
              <w:t>Maximum supply</w:t>
            </w:r>
          </w:p>
        </w:tc>
        <w:tc>
          <w:tcPr>
            <w:tcW w:type="dxa" w:w="5083"/>
            <w:tcMar>
              <w:top w:w="90" w:type="dxa"/>
              <w:start w:w="90" w:type="dxa"/>
              <w:bottom w:w="90" w:type="dxa"/>
              <w:end w:w="90" w:type="dxa"/>
            </w:tcMar>
            <w:vAlign w:val="center"/>
          </w:tcPr>
          <w:p>
            <w:pPr>
              <w:spacing w:after="0"/>
            </w:pPr>
            <w:r>
              <w:rPr>
                <w:rFonts w:ascii="Aptos" w:hAnsi="Aptos"/>
                <w:sz w:val="16"/>
              </w:rPr>
              <w:t>21,000,000 KPOW</w:t>
            </w:r>
          </w:p>
        </w:tc>
      </w:tr>
      <w:tr>
        <w:tc>
          <w:tcPr>
            <w:tcW w:type="dxa" w:w="5083"/>
            <w:tcMar>
              <w:top w:w="90" w:type="dxa"/>
              <w:start w:w="90" w:type="dxa"/>
              <w:bottom w:w="90" w:type="dxa"/>
              <w:end w:w="90" w:type="dxa"/>
            </w:tcMar>
            <w:shd w:fill="F3F5F7"/>
            <w:vAlign w:val="center"/>
          </w:tcPr>
          <w:p>
            <w:pPr>
              <w:spacing w:after="0"/>
            </w:pPr>
            <w:r>
              <w:rPr>
                <w:rFonts w:ascii="Aptos" w:hAnsi="Aptos"/>
                <w:sz w:val="16"/>
              </w:rPr>
              <w:t>Mining allocation</w:t>
            </w:r>
          </w:p>
        </w:tc>
        <w:tc>
          <w:tcPr>
            <w:tcW w:type="dxa" w:w="5083"/>
            <w:tcMar>
              <w:top w:w="90" w:type="dxa"/>
              <w:start w:w="90" w:type="dxa"/>
              <w:bottom w:w="90" w:type="dxa"/>
              <w:end w:w="90" w:type="dxa"/>
            </w:tcMar>
            <w:shd w:fill="F3F5F7"/>
            <w:vAlign w:val="center"/>
          </w:tcPr>
          <w:p>
            <w:pPr>
              <w:spacing w:after="0"/>
            </w:pPr>
            <w:r>
              <w:rPr>
                <w:rFonts w:ascii="Aptos" w:hAnsi="Aptos"/>
                <w:sz w:val="16"/>
              </w:rPr>
              <w:t>14,700,000 KPOW (70%)</w:t>
            </w:r>
          </w:p>
        </w:tc>
      </w:tr>
      <w:tr>
        <w:tc>
          <w:tcPr>
            <w:tcW w:type="dxa" w:w="5083"/>
            <w:tcMar>
              <w:top w:w="90" w:type="dxa"/>
              <w:start w:w="90" w:type="dxa"/>
              <w:bottom w:w="90" w:type="dxa"/>
              <w:end w:w="90" w:type="dxa"/>
            </w:tcMar>
            <w:vAlign w:val="center"/>
          </w:tcPr>
          <w:p>
            <w:pPr>
              <w:spacing w:after="0"/>
            </w:pPr>
            <w:r>
              <w:rPr>
                <w:rFonts w:ascii="Aptos" w:hAnsi="Aptos"/>
                <w:sz w:val="16"/>
              </w:rPr>
              <w:t>Block reward</w:t>
            </w:r>
          </w:p>
        </w:tc>
        <w:tc>
          <w:tcPr>
            <w:tcW w:type="dxa" w:w="5083"/>
            <w:tcMar>
              <w:top w:w="90" w:type="dxa"/>
              <w:start w:w="90" w:type="dxa"/>
              <w:bottom w:w="90" w:type="dxa"/>
              <w:end w:w="90" w:type="dxa"/>
            </w:tcMar>
            <w:vAlign w:val="center"/>
          </w:tcPr>
          <w:p>
            <w:pPr>
              <w:spacing w:after="0"/>
            </w:pPr>
            <w:r>
              <w:rPr>
                <w:rFonts w:ascii="Aptos" w:hAnsi="Aptos"/>
                <w:sz w:val="16"/>
              </w:rPr>
              <w:t>4 KPOW</w:t>
            </w:r>
          </w:p>
        </w:tc>
      </w:tr>
      <w:tr>
        <w:tc>
          <w:tcPr>
            <w:tcW w:type="dxa" w:w="5083"/>
            <w:tcMar>
              <w:top w:w="90" w:type="dxa"/>
              <w:start w:w="90" w:type="dxa"/>
              <w:bottom w:w="90" w:type="dxa"/>
              <w:end w:w="90" w:type="dxa"/>
            </w:tcMar>
            <w:shd w:fill="F3F5F7"/>
            <w:vAlign w:val="center"/>
          </w:tcPr>
          <w:p>
            <w:pPr>
              <w:spacing w:after="0"/>
            </w:pPr>
            <w:r>
              <w:rPr>
                <w:rFonts w:ascii="Aptos" w:hAnsi="Aptos"/>
                <w:sz w:val="16"/>
              </w:rPr>
              <w:t>Target block time</w:t>
            </w:r>
          </w:p>
        </w:tc>
        <w:tc>
          <w:tcPr>
            <w:tcW w:type="dxa" w:w="5083"/>
            <w:tcMar>
              <w:top w:w="90" w:type="dxa"/>
              <w:start w:w="90" w:type="dxa"/>
              <w:bottom w:w="90" w:type="dxa"/>
              <w:end w:w="90" w:type="dxa"/>
            </w:tcMar>
            <w:shd w:fill="F3F5F7"/>
            <w:vAlign w:val="center"/>
          </w:tcPr>
          <w:p>
            <w:pPr>
              <w:spacing w:after="0"/>
            </w:pPr>
            <w:r>
              <w:rPr>
                <w:rFonts w:ascii="Aptos" w:hAnsi="Aptos"/>
                <w:sz w:val="16"/>
              </w:rPr>
              <w:t>30 seconds</w:t>
            </w:r>
          </w:p>
        </w:tc>
      </w:tr>
      <w:tr>
        <w:tc>
          <w:tcPr>
            <w:tcW w:type="dxa" w:w="5083"/>
            <w:tcMar>
              <w:top w:w="90" w:type="dxa"/>
              <w:start w:w="90" w:type="dxa"/>
              <w:bottom w:w="90" w:type="dxa"/>
              <w:end w:w="90" w:type="dxa"/>
            </w:tcMar>
            <w:vAlign w:val="center"/>
          </w:tcPr>
          <w:p>
            <w:pPr>
              <w:spacing w:after="0"/>
            </w:pPr>
            <w:r>
              <w:rPr>
                <w:rFonts w:ascii="Aptos" w:hAnsi="Aptos"/>
                <w:sz w:val="16"/>
              </w:rPr>
              <w:t>Reward end block</w:t>
            </w:r>
          </w:p>
        </w:tc>
        <w:tc>
          <w:tcPr>
            <w:tcW w:type="dxa" w:w="5083"/>
            <w:tcMar>
              <w:top w:w="90" w:type="dxa"/>
              <w:start w:w="90" w:type="dxa"/>
              <w:bottom w:w="90" w:type="dxa"/>
              <w:end w:w="90" w:type="dxa"/>
            </w:tcMar>
            <w:vAlign w:val="center"/>
          </w:tcPr>
          <w:p>
            <w:pPr>
              <w:spacing w:after="0"/>
            </w:pPr>
            <w:r>
              <w:rPr>
                <w:rFonts w:ascii="Aptos" w:hAnsi="Aptos"/>
                <w:sz w:val="16"/>
              </w:rPr>
              <w:t>3,675,000</w:t>
            </w:r>
          </w:p>
        </w:tc>
      </w:tr>
      <w:tr>
        <w:tc>
          <w:tcPr>
            <w:tcW w:type="dxa" w:w="5083"/>
            <w:tcMar>
              <w:top w:w="90" w:type="dxa"/>
              <w:start w:w="90" w:type="dxa"/>
              <w:bottom w:w="90" w:type="dxa"/>
              <w:end w:w="90" w:type="dxa"/>
            </w:tcMar>
            <w:shd w:fill="F3F5F7"/>
            <w:vAlign w:val="center"/>
          </w:tcPr>
          <w:p>
            <w:pPr>
              <w:spacing w:after="0"/>
            </w:pPr>
            <w:r>
              <w:rPr>
                <w:rFonts w:ascii="Aptos" w:hAnsi="Aptos"/>
                <w:sz w:val="16"/>
              </w:rPr>
              <w:t>Target mining duration</w:t>
            </w:r>
          </w:p>
        </w:tc>
        <w:tc>
          <w:tcPr>
            <w:tcW w:type="dxa" w:w="5083"/>
            <w:tcMar>
              <w:top w:w="90" w:type="dxa"/>
              <w:start w:w="90" w:type="dxa"/>
              <w:bottom w:w="90" w:type="dxa"/>
              <w:end w:w="90" w:type="dxa"/>
            </w:tcMar>
            <w:shd w:fill="F3F5F7"/>
            <w:vAlign w:val="center"/>
          </w:tcPr>
          <w:p>
            <w:pPr>
              <w:spacing w:after="0"/>
            </w:pPr>
            <w:r>
              <w:rPr>
                <w:rFonts w:ascii="Aptos" w:hAnsi="Aptos"/>
                <w:sz w:val="16"/>
              </w:rPr>
              <w:t>Approximately 3.5 years</w:t>
            </w:r>
          </w:p>
        </w:tc>
      </w:tr>
      <w:tr>
        <w:tc>
          <w:tcPr>
            <w:tcW w:type="dxa" w:w="5083"/>
            <w:tcMar>
              <w:top w:w="90" w:type="dxa"/>
              <w:start w:w="90" w:type="dxa"/>
              <w:bottom w:w="90" w:type="dxa"/>
              <w:end w:w="90" w:type="dxa"/>
            </w:tcMar>
            <w:vAlign w:val="center"/>
          </w:tcPr>
          <w:p>
            <w:pPr>
              <w:spacing w:after="0"/>
            </w:pPr>
            <w:r>
              <w:rPr>
                <w:rFonts w:ascii="Aptos" w:hAnsi="Aptos"/>
                <w:sz w:val="16"/>
              </w:rPr>
              <w:t>Execution environment</w:t>
            </w:r>
          </w:p>
        </w:tc>
        <w:tc>
          <w:tcPr>
            <w:tcW w:type="dxa" w:w="5083"/>
            <w:tcMar>
              <w:top w:w="90" w:type="dxa"/>
              <w:start w:w="90" w:type="dxa"/>
              <w:bottom w:w="90" w:type="dxa"/>
              <w:end w:w="90" w:type="dxa"/>
            </w:tcMar>
            <w:vAlign w:val="center"/>
          </w:tcPr>
          <w:p>
            <w:pPr>
              <w:spacing w:after="0"/>
            </w:pPr>
            <w:r>
              <w:rPr>
                <w:rFonts w:ascii="Aptos" w:hAnsi="Aptos"/>
                <w:sz w:val="16"/>
              </w:rPr>
              <w:t>EVM compatible</w:t>
            </w:r>
          </w:p>
        </w:tc>
      </w:tr>
      <w:tr>
        <w:tc>
          <w:tcPr>
            <w:tcW w:type="dxa" w:w="5083"/>
            <w:tcMar>
              <w:top w:w="90" w:type="dxa"/>
              <w:start w:w="90" w:type="dxa"/>
              <w:bottom w:w="90" w:type="dxa"/>
              <w:end w:w="90" w:type="dxa"/>
            </w:tcMar>
            <w:shd w:fill="F3F5F7"/>
            <w:vAlign w:val="center"/>
          </w:tcPr>
          <w:p>
            <w:pPr>
              <w:spacing w:after="0"/>
            </w:pPr>
            <w:r>
              <w:rPr>
                <w:rFonts w:ascii="Aptos" w:hAnsi="Aptos"/>
                <w:sz w:val="16"/>
              </w:rPr>
              <w:t>Launch model</w:t>
            </w:r>
          </w:p>
        </w:tc>
        <w:tc>
          <w:tcPr>
            <w:tcW w:type="dxa" w:w="5083"/>
            <w:tcMar>
              <w:top w:w="90" w:type="dxa"/>
              <w:start w:w="90" w:type="dxa"/>
              <w:bottom w:w="90" w:type="dxa"/>
              <w:end w:w="90" w:type="dxa"/>
            </w:tcMar>
            <w:shd w:fill="F3F5F7"/>
            <w:vAlign w:val="center"/>
          </w:tcPr>
          <w:p>
            <w:pPr>
              <w:spacing w:after="0"/>
            </w:pPr>
            <w:r>
              <w:rPr>
                <w:rFonts w:ascii="Aptos" w:hAnsi="Aptos"/>
                <w:sz w:val="16"/>
              </w:rPr>
              <w:t>Transparent hybrid allocation</w:t>
            </w:r>
          </w:p>
        </w:tc>
      </w:tr>
      <w:tr>
        <w:tc>
          <w:tcPr>
            <w:tcW w:type="dxa" w:w="5083"/>
            <w:vAlign w:val="center"/>
            <w:tcMar>
              <w:top w:w="90" w:type="dxa"/>
              <w:start w:w="90" w:type="dxa"/>
              <w:bottom w:w="90" w:type="dxa"/>
              <w:end w:w="90" w:type="dxa"/>
            </w:tcMar>
          </w:tcPr>
          <w:p>
            <w:pPr>
              <w:spacing w:after="0"/>
            </w:pPr>
            <w:r>
              <w:rPr>
                <w:rFonts w:ascii="Aptos" w:hAnsi="Aptos"/>
                <w:sz w:val="16"/>
              </w:rPr>
            </w:r>
            <w:r>
              <w:rPr>
                <w:rFonts w:ascii="Aptos" w:hAnsi="Aptos"/>
                <w:b w:val="0"/>
                <w:sz w:val="16"/>
              </w:rPr>
              <w:t>Consensus</w:t>
            </w:r>
          </w:p>
        </w:tc>
        <w:tc>
          <w:tcPr>
            <w:tcW w:type="dxa" w:w="5083"/>
            <w:vAlign w:val="center"/>
            <w:tcMar>
              <w:top w:w="90" w:type="dxa"/>
              <w:start w:w="90" w:type="dxa"/>
              <w:bottom w:w="90" w:type="dxa"/>
              <w:end w:w="90" w:type="dxa"/>
            </w:tcMar>
          </w:tcPr>
          <w:p>
            <w:pPr>
              <w:spacing w:after="0"/>
            </w:pPr>
            <w:r>
              <w:rPr>
                <w:rFonts w:ascii="Aptos" w:hAnsi="Aptos"/>
                <w:sz w:val="16"/>
              </w:rPr>
            </w:r>
            <w:r>
              <w:rPr>
                <w:rFonts w:ascii="Aptos" w:hAnsi="Aptos"/>
                <w:b w:val="0"/>
                <w:sz w:val="16"/>
              </w:rPr>
              <w:t>Proof of Work</w:t>
            </w:r>
          </w:p>
        </w:tc>
      </w:tr>
      <w:tr>
        <w:tc>
          <w:tcPr>
            <w:tcW w:type="dxa" w:w="5083"/>
            <w:vAlign w:val="center"/>
            <w:tcMar>
              <w:top w:w="90" w:type="dxa"/>
              <w:start w:w="90" w:type="dxa"/>
              <w:bottom w:w="90" w:type="dxa"/>
              <w:end w:w="90" w:type="dxa"/>
            </w:tcMar>
            <w:shd w:fill="F3F5F7"/>
          </w:tcPr>
          <w:p>
            <w:pPr>
              <w:spacing w:after="0"/>
            </w:pPr>
            <w:r>
              <w:rPr>
                <w:rFonts w:ascii="Aptos" w:hAnsi="Aptos"/>
                <w:sz w:val="16"/>
              </w:rPr>
            </w:r>
            <w:r>
              <w:rPr>
                <w:rFonts w:ascii="Aptos" w:hAnsi="Aptos"/>
                <w:b w:val="0"/>
                <w:sz w:val="16"/>
              </w:rPr>
              <w:t>Mining algorithm</w:t>
            </w:r>
          </w:p>
        </w:tc>
        <w:tc>
          <w:tcPr>
            <w:tcW w:type="dxa" w:w="5083"/>
            <w:vAlign w:val="center"/>
            <w:tcMar>
              <w:top w:w="90" w:type="dxa"/>
              <w:start w:w="90" w:type="dxa"/>
              <w:bottom w:w="90" w:type="dxa"/>
              <w:end w:w="90" w:type="dxa"/>
            </w:tcMar>
            <w:shd w:fill="F3F5F7"/>
          </w:tcPr>
          <w:p>
            <w:pPr>
              <w:spacing w:after="0"/>
            </w:pPr>
            <w:r>
              <w:rPr>
                <w:rFonts w:ascii="Aptos" w:hAnsi="Aptos"/>
                <w:sz w:val="16"/>
              </w:rPr>
            </w:r>
            <w:r>
              <w:rPr>
                <w:rFonts w:ascii="Aptos" w:hAnsi="Aptos"/>
                <w:b w:val="0"/>
                <w:sz w:val="16"/>
              </w:rPr>
              <w:t>Ethash</w:t>
            </w:r>
          </w:p>
        </w:tc>
      </w:tr>
    </w:tbl>
    <w:p>
      <w:pPr>
        <w:spacing w:after="20"/>
      </w:pPr>
    </w:p>
    <w:p>
      <w:r>
        <w:t>The project follows a presale-first, network-first delivery model. Presale and community formation are followed by a published technical specification, public KPOW testnet, full node, RPC, explorer, mining-client validation, and KPOW mainnet launch. KpowBIT Exchange is planned after the network is operational so deposits, withdrawals, and KPOW markets can integrate the native chain directly. The Mining Rental Platform follows after provider onboarding, contract, metering, settlement, dispute, and security systems have been tested.</w:t>
      </w:r>
    </w:p>
    <w:p>
      <w:r>
        <w:br w:type="page"/>
      </w:r>
    </w:p>
    <w:p>
      <w:pPr>
        <w:pStyle w:val="Heading1"/>
      </w:pPr>
      <w:r>
        <w:t>2. Vision and Design Principles</w:t>
      </w:r>
    </w:p>
    <w:p>
      <w:pPr>
        <w:jc w:val="left"/>
      </w:pPr>
      <w:r>
        <w:rPr>
          <w:b/>
          <w:color w:val="5A6778"/>
          <w:sz w:val="22"/>
        </w:rPr>
        <w:t>A protocol and product ecosystem designed to remain understandable</w:t>
      </w:r>
    </w:p>
    <w:p>
      <w:r>
        <w:t>KPOW is designed around a clear separation of responsibilities: the chain provides neutral, verifiable settlement and predictable issuance; KpowBIT provides user-facing products, operations, support, compliance controls, and marketplace coordination.</w:t>
      </w:r>
    </w:p>
    <w:p>
      <w:pPr>
        <w:pStyle w:val="Heading2"/>
      </w:pPr>
      <w:r>
        <w:t>2.1 Fixed monetary limit</w:t>
      </w:r>
    </w:p>
    <w:p>
      <w:r>
        <w:t>The protocol must not exceed 21 million KPOW. The 70% mining allocation and 30% genesis allocation together account for the full maximum supply.</w:t>
      </w:r>
    </w:p>
    <w:p>
      <w:pPr>
        <w:pStyle w:val="Heading2"/>
      </w:pPr>
      <w:r>
        <w:t>2.2 Proof before authority</w:t>
      </w:r>
    </w:p>
    <w:p>
      <w:r>
        <w:t>Blocks, transactions, and monetary emission must be independently verifiable by nodes. Administrative services may operate products, but they must not override consensus rules.</w:t>
      </w:r>
    </w:p>
    <w:p>
      <w:pPr>
        <w:pStyle w:val="Heading2"/>
      </w:pPr>
      <w:r>
        <w:t>2.3 Open programmability</w:t>
      </w:r>
    </w:p>
    <w:p>
      <w:r>
        <w:t>EVM compatibility is intended to support familiar Solidity tools, vesting contracts, ecosystem assets, collateral, settlement modules, and third-party applications.</w:t>
      </w:r>
    </w:p>
    <w:p>
      <w:pPr>
        <w:pStyle w:val="Heading2"/>
      </w:pPr>
      <w:r>
        <w:t>2.4 Product before speculation</w:t>
      </w:r>
    </w:p>
    <w:p>
      <w:r>
        <w:t>The roadmap prioritizes exchange operations, chain testing, and measurable marketplace utility rather than relying only on presale or marketing activity.</w:t>
      </w:r>
    </w:p>
    <w:p>
      <w:pPr>
        <w:pStyle w:val="Heading2"/>
      </w:pPr>
      <w:r>
        <w:t>2.5 Transparent allocation</w:t>
      </w:r>
    </w:p>
    <w:p>
      <w:r>
        <w:t>Genesis wallets, locked balances, vesting rules, treasury movements, and circulating supply should be publicly reported before or at launch.</w:t>
      </w:r>
    </w:p>
    <w:p>
      <w:pPr>
        <w:pStyle w:val="Heading2"/>
      </w:pPr>
      <w:r>
        <w:t>2.6 Measurable mining service</w:t>
      </w:r>
    </w:p>
    <w:p>
      <w:r>
        <w:t>Future rental rewards and provider settlement should depend on verified service delivery, not only on self-reported hardware or advertised hashrate.</w:t>
      </w:r>
    </w:p>
    <w:p>
      <w:r>
        <w:br w:type="page"/>
      </w:r>
    </w:p>
    <w:p>
      <w:pPr>
        <w:pStyle w:val="Heading1"/>
      </w:pPr>
      <w:r>
        <w:t>3. Market Context and Problem</w:t>
      </w:r>
    </w:p>
    <w:p>
      <w:pPr>
        <w:jc w:val="left"/>
      </w:pPr>
      <w:r>
        <w:rPr>
          <w:b/>
          <w:color w:val="5A6778"/>
          <w:sz w:val="22"/>
        </w:rPr>
        <w:t>Fragmented workflows across mining, markets, and infrastructure</w:t>
      </w:r>
    </w:p>
    <w:p>
      <w:pPr>
        <w:pStyle w:val="Heading2"/>
      </w:pPr>
      <w:r>
        <w:t>3.1 Mining access remains difficult</w:t>
      </w:r>
    </w:p>
    <w:p>
      <w:r>
        <w:t>Direct mining often requires hardware acquisition, hosting, power management, network configuration, pool integration, maintenance, and risk management. These requirements create a high entry barrier for users who want controlled access to mining capacity without operating a facility.</w:t>
      </w:r>
    </w:p>
    <w:p>
      <w:pPr>
        <w:pStyle w:val="Heading2"/>
      </w:pPr>
      <w:r>
        <w:t>3.2 Mining providers need structured demand</w:t>
      </w:r>
    </w:p>
    <w:p>
      <w:r>
        <w:t>Mining farms and hardware operators may have available capacity, but converting that capacity into reliable demand requires listing, pricing, metering, settlement, support, reputation, dispute, and anti-fraud systems.</w:t>
      </w:r>
    </w:p>
    <w:p>
      <w:pPr>
        <w:pStyle w:val="Heading2"/>
      </w:pPr>
      <w:r>
        <w:t>3.3 Mining rewards and markets are disconnected</w:t>
      </w:r>
    </w:p>
    <w:p>
      <w:r>
        <w:t>Users frequently move between pools, wallets, mining services, explorers, and exchanges. Each transfer introduces operational complexity, fees, delays, and additional security exposure.</w:t>
      </w:r>
    </w:p>
    <w:p>
      <w:pPr>
        <w:pStyle w:val="Heading2"/>
      </w:pPr>
      <w:r>
        <w:t>3.4 Emerging PoW assets lack tailored market infrastructure</w:t>
      </w:r>
    </w:p>
    <w:p>
      <w:r>
        <w:t>Smaller mining communities often need transparent market operations, wallet integration, node monitoring, and responsive support tailored to Proof-of-Work projects.</w:t>
      </w:r>
    </w:p>
    <w:p>
      <w:pPr>
        <w:pStyle w:val="Heading2"/>
      </w:pPr>
      <w:r>
        <w:t>3.5 Rental markets carry verification risks</w:t>
      </w:r>
    </w:p>
    <w:p>
      <w:r>
        <w:t>A rental marketplace must defend against false hardware claims, unstable delivery, self-rental, wash activity, manipulated benchmarks, fake uptime, pool incompatibility, and payment disputes.</w:t>
      </w:r>
    </w:p>
    <w:tbl>
      <w:tblPr>
        <w:tblW w:type="auto" w:w="0"/>
        <w:jc w:val="center"/>
        <w:tblLook w:firstColumn="1" w:firstRow="1" w:lastColumn="0" w:lastRow="0" w:noHBand="0" w:noVBand="1" w:val="04A0"/>
      </w:tblPr>
      <w:tblGrid>
        <w:gridCol w:w="10166"/>
      </w:tblGrid>
      <w:tr>
        <w:tc>
          <w:tcPr>
            <w:tcW w:type="dxa" w:w="10166"/>
            <w:shd w:fill="FFF7D6"/>
            <w:tcMar>
              <w:top w:w="140" w:type="dxa"/>
              <w:start w:w="170" w:type="dxa"/>
              <w:bottom w:w="140" w:type="dxa"/>
              <w:end w:w="170" w:type="dxa"/>
            </w:tcMar>
          </w:tcPr>
          <w:p>
            <w:r>
              <w:rPr>
                <w:b/>
                <w:color w:val="C99916"/>
              </w:rPr>
              <w:t>Design response</w:t>
              <w:br/>
            </w:r>
            <w:r>
              <w:t>KPOW separates consensus, product operations, and marketplace verification so each layer can be tested, audited, and improved without making every product rule part of the base protocol.</w:t>
            </w:r>
          </w:p>
        </w:tc>
      </w:tr>
    </w:tbl>
    <w:p>
      <w:pPr>
        <w:spacing w:after="0"/>
      </w:pPr>
    </w:p>
    <w:p>
      <w:r>
        <w:br w:type="page"/>
      </w:r>
    </w:p>
    <w:p>
      <w:pPr>
        <w:pStyle w:val="Heading1"/>
      </w:pPr>
      <w:r>
        <w:t>4. KPOW / KpowBIT Ecosystem</w:t>
      </w:r>
    </w:p>
    <w:p>
      <w:pPr>
        <w:jc w:val="left"/>
      </w:pPr>
      <w:r>
        <w:rPr>
          <w:b/>
          <w:color w:val="5A6778"/>
          <w:sz w:val="22"/>
        </w:rPr>
        <w:t>Protocol layer, market layer, and infrastructure layer</w:t>
      </w:r>
    </w:p>
    <w:p>
      <w:pPr>
        <w:jc w:val="center"/>
      </w:pPr>
      <w:r>
        <w:drawing>
          <wp:inline xmlns:a="http://schemas.openxmlformats.org/drawingml/2006/main" xmlns:pic="http://schemas.openxmlformats.org/drawingml/2006/picture">
            <wp:extent cx="6309360" cy="3701785"/>
            <wp:docPr id="2" name="Picture 2"/>
            <wp:cNvGraphicFramePr>
              <a:graphicFrameLocks noChangeAspect="1"/>
            </wp:cNvGraphicFramePr>
            <a:graphic>
              <a:graphicData uri="http://schemas.openxmlformats.org/drawingml/2006/picture">
                <pic:pic>
                  <pic:nvPicPr>
                    <pic:cNvPr id="0" name="architecture.png"/>
                    <pic:cNvPicPr/>
                  </pic:nvPicPr>
                  <pic:blipFill>
                    <a:blip r:embed="rId14"/>
                    <a:stretch>
                      <a:fillRect/>
                    </a:stretch>
                  </pic:blipFill>
                  <pic:spPr>
                    <a:xfrm>
                      <a:off x="0" y="0"/>
                      <a:ext cx="6309360" cy="3701785"/>
                    </a:xfrm>
                    <a:prstGeom prst="rect"/>
                  </pic:spPr>
                </pic:pic>
              </a:graphicData>
            </a:graphic>
          </wp:inline>
        </w:drawing>
      </w:r>
    </w:p>
    <w:p>
      <w:pPr>
        <w:jc w:val="center"/>
      </w:pPr>
      <w:r>
        <w:rPr>
          <w:i/>
          <w:color w:val="5A6778"/>
          <w:sz w:val="16"/>
        </w:rPr>
        <w:t>Figure 1. Proposed separation between KPOW Chain, KpowBIT products, and open infrastructure.</w:t>
      </w:r>
    </w:p>
    <w:p>
      <w:pPr>
        <w:pStyle w:val="Heading2"/>
      </w:pPr>
      <w:r>
        <w:t>4.1 KPOW Chain</w:t>
      </w:r>
    </w:p>
    <w:p>
      <w:r>
        <w:t>The proposed native settlement network provides Proof-of-Work consensus, KPOW issuance, EVM execution, gas accounting, asset settlement, and smart-contract infrastructure.</w:t>
      </w:r>
    </w:p>
    <w:p>
      <w:pPr>
        <w:pStyle w:val="Heading2"/>
      </w:pPr>
      <w:r>
        <w:t>4.2 KpowBIT Exchange</w:t>
      </w:r>
    </w:p>
    <w:p>
      <w:r>
        <w:t>The first planned production product provides user accounts, wallets, deposits, withdrawals, spot markets, operational monitoring, and APIs. It also creates a market access point for KPOW and supported Proof-of-Work assets.</w:t>
      </w:r>
    </w:p>
    <w:p>
      <w:pPr>
        <w:pStyle w:val="Heading2"/>
      </w:pPr>
      <w:r>
        <w:t>4.3 Mining Rental Platform</w:t>
      </w:r>
    </w:p>
    <w:p>
      <w:r>
        <w:t>A planned two-sided marketplace targeted for approximately Q2 2027. Renters compare verified offers and contract terms. Providers publish eligible GPU or ASIC capacity, receive orders, deliver hashrate, and settle completed contracts under marketplace rules.</w:t>
      </w:r>
    </w:p>
    <w:p>
      <w:pPr>
        <w:pStyle w:val="Heading2"/>
      </w:pPr>
      <w:r>
        <w:t>4.4 Open infrastructure</w:t>
      </w:r>
    </w:p>
    <w:p>
      <w:r>
        <w:t>Explorers, nodes, mining clients, pools, RPC endpoints, monitoring, developer tools, and future third-party integrations expand the network beyond products operated directly by KpowBIT.</w:t>
      </w:r>
    </w:p>
    <w:p>
      <w:r>
        <w:br w:type="page"/>
      </w:r>
    </w:p>
    <w:p>
      <w:pPr>
        <w:pStyle w:val="Heading1"/>
      </w:pPr>
      <w:r>
        <w:t>5. KPOW Chain Architecture</w:t>
      </w:r>
    </w:p>
    <w:p>
      <w:pPr>
        <w:jc w:val="left"/>
      </w:pPr>
      <w:r>
        <w:rPr>
          <w:b/>
          <w:color w:val="5A6778"/>
          <w:sz w:val="22"/>
        </w:rPr>
        <w:t>Proposed technical structure</w:t>
      </w:r>
    </w:p>
    <w:p>
      <w:pPr>
        <w:pStyle w:val="Heading2"/>
      </w:pPr>
      <w:r>
        <w:t>5.1 Node responsibilities</w:t>
      </w:r>
    </w:p>
    <w:p>
      <w:pPr>
        <w:pStyle w:val="ListBullet"/>
        <w:ind w:left="317" w:hanging="202"/>
      </w:pPr>
      <w:r>
        <w:t>Validate blocks, transactions, signatures, gas, and state transitions.</w:t>
      </w:r>
    </w:p>
    <w:p>
      <w:pPr>
        <w:pStyle w:val="ListBullet"/>
        <w:ind w:left="317" w:hanging="202"/>
      </w:pPr>
      <w:r>
        <w:t>Maintain the canonical chain according to Proof-of-Work fork-choice rules.</w:t>
      </w:r>
    </w:p>
    <w:p>
      <w:pPr>
        <w:pStyle w:val="ListBullet"/>
        <w:ind w:left="317" w:hanging="202"/>
      </w:pPr>
      <w:r>
        <w:t>Expose JSON-RPC, WebSocket, and optional IPC interfaces for wallets, explorers, and applications.</w:t>
      </w:r>
    </w:p>
    <w:p>
      <w:pPr>
        <w:pStyle w:val="ListBullet"/>
        <w:ind w:left="317" w:hanging="202"/>
      </w:pPr>
      <w:r>
        <w:t>Execute EVM-compatible smart contracts deterministically.</w:t>
      </w:r>
    </w:p>
    <w:p>
      <w:pPr>
        <w:pStyle w:val="ListBullet"/>
        <w:ind w:left="317" w:hanging="202"/>
      </w:pPr>
      <w:r>
        <w:t>Enforce maximum-supply, block-reward, and terminal reward-block rules from genesis.</w:t>
      </w:r>
    </w:p>
    <w:p>
      <w:pPr>
        <w:pStyle w:val="Heading2"/>
      </w:pPr>
      <w:r>
        <w:t>5.2 Proof-of-Work consensus</w:t>
      </w:r>
    </w:p>
    <w:p>
      <w:r>
        <w:t>Proof of Work creates an objective cost for extending and reorganizing chain history. KPOW currently specifies Ethash as the proposed mining algorithm. Miners compete to produce valid blocks; nodes independently verify the work and resulting state transition. Ethash parameters, DAG behavior, miner compatibility, difficulty response, and pool integration remain subject to benchmark, security review, and public testnet results.</w:t>
      </w:r>
    </w:p>
    <w:p>
      <w:pPr>
        <w:pStyle w:val="Heading2"/>
      </w:pPr>
      <w:r>
        <w:t>5.3 EVM execution</w:t>
      </w:r>
    </w:p>
    <w:p>
      <w:r>
        <w:t>The planned client profile is based on the Octa/Core-Geth family of EVM-compatible source code, with project-specific network identity, genesis configuration, consensus parameters, ports, chain IDs, monetary rules, and release tooling. EVM compatibility is intended to support Solidity contracts and widely used Ethereum development tools. The inherited codebase must be audited, reproducibly built, renamed completely, and validated independently before any production release.</w:t>
      </w:r>
    </w:p>
    <w:p>
      <w:pPr>
        <w:pStyle w:val="Heading2"/>
      </w:pPr>
      <w:r>
        <w:t>5.4 Difficulty adjustment</w:t>
      </w:r>
    </w:p>
    <w:p>
      <w:r>
        <w:t>A new network may experience rapid changes in hashrate. A long fixed retarget window can make blocks extremely slow after miners leave or excessively fast after miners arrive. KPOW therefore proposes per-block difficulty adjustment, with ASERT or a similarly tested method as the leading design direction, subject to simulation and testnet validation.</w:t>
      </w:r>
    </w:p>
    <w:p>
      <w:pPr>
        <w:pStyle w:val="Heading2"/>
      </w:pPr>
      <w:r>
        <w:t>5.5 Network interfaces</w:t>
      </w:r>
    </w:p>
    <w:tbl>
      <w:tblPr>
        <w:tblStyle w:val="TableGrid"/>
        <w:tblW w:type="auto" w:w="0"/>
        <w:jc w:val="center"/>
        <w:tblLook w:firstColumn="1" w:firstRow="1" w:lastColumn="0" w:lastRow="0" w:noHBand="0" w:noVBand="1" w:val="04A0"/>
      </w:tblPr>
      <w:tblGrid>
        <w:gridCol w:w="5083"/>
        <w:gridCol w:w="5083"/>
      </w:tblGrid>
      <w:tr>
        <w:trPr>
          <w:tblHeader w:val="true"/>
        </w:trPr>
        <w:tc>
          <w:tcPr>
            <w:tcW w:type="dxa" w:w="5083"/>
            <w:shd w:fill="0B1728"/>
            <w:tcMar>
              <w:top w:w="100" w:type="dxa"/>
              <w:start w:w="120" w:type="dxa"/>
              <w:bottom w:w="100" w:type="dxa"/>
              <w:end w:w="120" w:type="dxa"/>
            </w:tcMar>
            <w:vAlign w:val="center"/>
          </w:tcPr>
          <w:p>
            <w:pPr>
              <w:jc w:val="left"/>
            </w:pPr>
            <w:r>
              <w:rPr>
                <w:b/>
                <w:color w:val="FFFFFF"/>
                <w:sz w:val="17"/>
              </w:rPr>
              <w:t>Interface</w:t>
            </w:r>
          </w:p>
        </w:tc>
        <w:tc>
          <w:tcPr>
            <w:tcW w:type="dxa" w:w="5083"/>
            <w:shd w:fill="0B1728"/>
            <w:tcMar>
              <w:top w:w="100" w:type="dxa"/>
              <w:start w:w="120" w:type="dxa"/>
              <w:bottom w:w="100" w:type="dxa"/>
              <w:end w:w="120" w:type="dxa"/>
            </w:tcMar>
            <w:vAlign w:val="center"/>
          </w:tcPr>
          <w:p>
            <w:pPr>
              <w:jc w:val="left"/>
            </w:pPr>
            <w:r>
              <w:rPr>
                <w:b/>
                <w:color w:val="FFFFFF"/>
                <w:sz w:val="17"/>
              </w:rPr>
              <w:t>Purpose</w:t>
            </w:r>
          </w:p>
        </w:tc>
      </w:tr>
      <w:tr>
        <w:tc>
          <w:tcPr>
            <w:tcW w:type="dxa" w:w="5083"/>
            <w:tcMar>
              <w:top w:w="100" w:type="dxa"/>
              <w:start w:w="120" w:type="dxa"/>
              <w:bottom w:w="100" w:type="dxa"/>
              <w:end w:w="120" w:type="dxa"/>
            </w:tcMar>
            <w:vAlign w:val="center"/>
          </w:tcPr>
          <w:p>
            <w:r>
              <w:rPr>
                <w:sz w:val="16"/>
              </w:rPr>
              <w:t>P2P</w:t>
            </w:r>
          </w:p>
        </w:tc>
        <w:tc>
          <w:tcPr>
            <w:tcW w:type="dxa" w:w="5083"/>
            <w:tcMar>
              <w:top w:w="100" w:type="dxa"/>
              <w:start w:w="120" w:type="dxa"/>
              <w:bottom w:w="100" w:type="dxa"/>
              <w:end w:w="120" w:type="dxa"/>
            </w:tcMar>
            <w:vAlign w:val="center"/>
          </w:tcPr>
          <w:p>
            <w:r>
              <w:rPr>
                <w:sz w:val="16"/>
              </w:rPr>
              <w:t>Block and transaction propagation between nodes</w:t>
            </w:r>
          </w:p>
        </w:tc>
      </w:tr>
      <w:tr>
        <w:tc>
          <w:tcPr>
            <w:tcW w:type="dxa" w:w="5083"/>
            <w:tcMar>
              <w:top w:w="100" w:type="dxa"/>
              <w:start w:w="120" w:type="dxa"/>
              <w:bottom w:w="100" w:type="dxa"/>
              <w:end w:w="120" w:type="dxa"/>
            </w:tcMar>
            <w:shd w:fill="F5F7FA"/>
            <w:vAlign w:val="center"/>
          </w:tcPr>
          <w:p>
            <w:r>
              <w:rPr>
                <w:sz w:val="16"/>
              </w:rPr>
              <w:t>JSON-RPC</w:t>
            </w:r>
          </w:p>
        </w:tc>
        <w:tc>
          <w:tcPr>
            <w:tcW w:type="dxa" w:w="5083"/>
            <w:tcMar>
              <w:top w:w="100" w:type="dxa"/>
              <w:start w:w="120" w:type="dxa"/>
              <w:bottom w:w="100" w:type="dxa"/>
              <w:end w:w="120" w:type="dxa"/>
            </w:tcMar>
            <w:shd w:fill="F5F7FA"/>
            <w:vAlign w:val="center"/>
          </w:tcPr>
          <w:p>
            <w:r>
              <w:rPr>
                <w:sz w:val="16"/>
              </w:rPr>
              <w:t>Wallet, explorer, exchange, and application integration</w:t>
            </w:r>
          </w:p>
        </w:tc>
      </w:tr>
      <w:tr>
        <w:tc>
          <w:tcPr>
            <w:tcW w:type="dxa" w:w="5083"/>
            <w:tcMar>
              <w:top w:w="100" w:type="dxa"/>
              <w:start w:w="120" w:type="dxa"/>
              <w:bottom w:w="100" w:type="dxa"/>
              <w:end w:w="120" w:type="dxa"/>
            </w:tcMar>
            <w:vAlign w:val="center"/>
          </w:tcPr>
          <w:p>
            <w:r>
              <w:rPr>
                <w:sz w:val="16"/>
              </w:rPr>
              <w:t>WebSocket</w:t>
            </w:r>
          </w:p>
        </w:tc>
        <w:tc>
          <w:tcPr>
            <w:tcW w:type="dxa" w:w="5083"/>
            <w:tcMar>
              <w:top w:w="100" w:type="dxa"/>
              <w:start w:w="120" w:type="dxa"/>
              <w:bottom w:w="100" w:type="dxa"/>
              <w:end w:w="120" w:type="dxa"/>
            </w:tcMar>
            <w:vAlign w:val="center"/>
          </w:tcPr>
          <w:p>
            <w:r>
              <w:rPr>
                <w:sz w:val="16"/>
              </w:rPr>
              <w:t>Event subscriptions and real-time application updates</w:t>
            </w:r>
          </w:p>
        </w:tc>
      </w:tr>
      <w:tr>
        <w:tc>
          <w:tcPr>
            <w:tcW w:type="dxa" w:w="5083"/>
            <w:tcMar>
              <w:top w:w="100" w:type="dxa"/>
              <w:start w:w="120" w:type="dxa"/>
              <w:bottom w:w="100" w:type="dxa"/>
              <w:end w:w="120" w:type="dxa"/>
            </w:tcMar>
            <w:shd w:fill="F5F7FA"/>
            <w:vAlign w:val="center"/>
          </w:tcPr>
          <w:p>
            <w:r>
              <w:rPr>
                <w:sz w:val="16"/>
              </w:rPr>
              <w:t>CLI</w:t>
            </w:r>
          </w:p>
        </w:tc>
        <w:tc>
          <w:tcPr>
            <w:tcW w:type="dxa" w:w="5083"/>
            <w:tcMar>
              <w:top w:w="100" w:type="dxa"/>
              <w:start w:w="120" w:type="dxa"/>
              <w:bottom w:w="100" w:type="dxa"/>
              <w:end w:w="120" w:type="dxa"/>
            </w:tcMar>
            <w:shd w:fill="F5F7FA"/>
            <w:vAlign w:val="center"/>
          </w:tcPr>
          <w:p>
            <w:r>
              <w:rPr>
                <w:sz w:val="16"/>
              </w:rPr>
              <w:t>Node operations, mining configuration, wallet and developer workflows</w:t>
            </w:r>
          </w:p>
        </w:tc>
      </w:tr>
      <w:tr>
        <w:tc>
          <w:tcPr>
            <w:tcW w:type="dxa" w:w="5083"/>
            <w:tcMar>
              <w:top w:w="100" w:type="dxa"/>
              <w:start w:w="120" w:type="dxa"/>
              <w:bottom w:w="100" w:type="dxa"/>
              <w:end w:w="120" w:type="dxa"/>
            </w:tcMar>
            <w:vAlign w:val="center"/>
          </w:tcPr>
          <w:p>
            <w:r>
              <w:rPr>
                <w:sz w:val="16"/>
              </w:rPr>
              <w:t>Explorer API</w:t>
            </w:r>
          </w:p>
        </w:tc>
        <w:tc>
          <w:tcPr>
            <w:tcW w:type="dxa" w:w="5083"/>
            <w:tcMar>
              <w:top w:w="100" w:type="dxa"/>
              <w:start w:w="120" w:type="dxa"/>
              <w:bottom w:w="100" w:type="dxa"/>
              <w:end w:w="120" w:type="dxa"/>
            </w:tcMar>
            <w:vAlign w:val="center"/>
          </w:tcPr>
          <w:p>
            <w:r>
              <w:rPr>
                <w:sz w:val="16"/>
              </w:rPr>
              <w:t>Public chain data, transaction inspection, and verification</w:t>
            </w:r>
          </w:p>
        </w:tc>
      </w:tr>
    </w:tbl>
    <w:p>
      <w:pPr>
        <w:spacing w:after="20"/>
      </w:pPr>
    </w:p>
    <w:p>
      <w:r>
        <w:br w:type="page"/>
      </w:r>
    </w:p>
    <w:p>
      <w:pPr>
        <w:pStyle w:val="Heading1"/>
      </w:pPr>
      <w:r>
        <w:t>6. Network Parameters</w:t>
      </w:r>
    </w:p>
    <w:p>
      <w:pPr>
        <w:jc w:val="left"/>
      </w:pPr>
      <w:r>
        <w:rPr>
          <w:b/>
          <w:color w:val="5A6778"/>
          <w:sz w:val="22"/>
        </w:rPr>
        <w:t>Current proposed mainnet and testnet configuration</w:t>
      </w:r>
    </w:p>
    <w:tbl>
      <w:tblPr>
        <w:tblStyle w:val="TableGrid"/>
        <w:tblW w:type="auto" w:w="0"/>
        <w:tblLayout w:type="autofit"/>
        <w:tblLook w:firstColumn="1" w:firstRow="1" w:lastColumn="0" w:lastRow="0" w:noHBand="0" w:noVBand="1" w:val="04A0"/>
      </w:tblPr>
      <w:tblGrid>
        <w:gridCol w:w="3389"/>
        <w:gridCol w:w="3389"/>
        <w:gridCol w:w="3389"/>
      </w:tblGrid>
      <w:tr>
        <w:tc>
          <w:tcPr>
            <w:tcW w:type="dxa" w:w="3389"/>
            <w:vAlign w:val="center"/>
            <w:tcMar>
              <w:top w:w="90" w:type="dxa"/>
              <w:start w:w="90" w:type="dxa"/>
              <w:bottom w:w="90" w:type="dxa"/>
              <w:end w:w="90" w:type="dxa"/>
            </w:tcMar>
            <w:shd w:fill="0A1B2D"/>
          </w:tcPr>
          <w:p>
            <w:pPr>
              <w:spacing w:after="0"/>
            </w:pPr>
            <w:r>
              <w:rPr>
                <w:b/>
                <w:color w:val="FFFFFF"/>
                <w:sz w:val="16"/>
              </w:rPr>
            </w:r>
            <w:r>
              <w:rPr>
                <w:rFonts w:ascii="Aptos" w:hAnsi="Aptos"/>
                <w:b/>
                <w:color w:val="FFFFFF"/>
                <w:sz w:val="16"/>
              </w:rPr>
              <w:t>Parameter</w:t>
            </w:r>
          </w:p>
        </w:tc>
        <w:tc>
          <w:tcPr>
            <w:tcW w:type="dxa" w:w="3389"/>
            <w:vAlign w:val="center"/>
            <w:tcMar>
              <w:top w:w="90" w:type="dxa"/>
              <w:start w:w="90" w:type="dxa"/>
              <w:bottom w:w="90" w:type="dxa"/>
              <w:end w:w="90" w:type="dxa"/>
            </w:tcMar>
            <w:shd w:fill="0A1B2D"/>
          </w:tcPr>
          <w:p>
            <w:pPr>
              <w:spacing w:after="0"/>
            </w:pPr>
            <w:r>
              <w:rPr>
                <w:b/>
                <w:color w:val="FFFFFF"/>
                <w:sz w:val="16"/>
              </w:rPr>
            </w:r>
            <w:r>
              <w:rPr>
                <w:rFonts w:ascii="Aptos" w:hAnsi="Aptos"/>
                <w:b/>
                <w:color w:val="FFFFFF"/>
                <w:sz w:val="16"/>
              </w:rPr>
              <w:t>Proposed value</w:t>
            </w:r>
          </w:p>
        </w:tc>
        <w:tc>
          <w:tcPr>
            <w:tcW w:type="dxa" w:w="3389"/>
            <w:vAlign w:val="center"/>
            <w:tcMar>
              <w:top w:w="90" w:type="dxa"/>
              <w:start w:w="90" w:type="dxa"/>
              <w:bottom w:w="90" w:type="dxa"/>
              <w:end w:w="90" w:type="dxa"/>
            </w:tcMar>
            <w:shd w:fill="0A1B2D"/>
          </w:tcPr>
          <w:p>
            <w:pPr>
              <w:spacing w:after="0"/>
            </w:pPr>
            <w:r>
              <w:rPr>
                <w:b/>
                <w:color w:val="FFFFFF"/>
                <w:sz w:val="16"/>
              </w:rPr>
            </w:r>
            <w:r>
              <w:rPr>
                <w:rFonts w:ascii="Aptos" w:hAnsi="Aptos"/>
                <w:b/>
                <w:color w:val="FFFFFF"/>
                <w:sz w:val="16"/>
              </w:rPr>
              <w:t>Status / note</w:t>
            </w:r>
          </w:p>
        </w:tc>
      </w:tr>
      <w:tr>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Coin / network name</w:t>
            </w:r>
          </w:p>
        </w:tc>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KpowBIT / KPOW Network</w:t>
            </w:r>
          </w:p>
        </w:tc>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Proposed</w:t>
            </w:r>
          </w:p>
        </w:tc>
      </w:tr>
      <w:tr>
        <w:tc>
          <w:tcPr>
            <w:tcW w:type="dxa" w:w="3389"/>
            <w:vAlign w:val="center"/>
            <w:tcMar>
              <w:top w:w="90" w:type="dxa"/>
              <w:start w:w="90" w:type="dxa"/>
              <w:bottom w:w="90" w:type="dxa"/>
              <w:end w:w="90" w:type="dxa"/>
            </w:tcMar>
            <w:shd w:fill="F3F5F7"/>
          </w:tcPr>
          <w:p>
            <w:pPr>
              <w:spacing w:after="0"/>
            </w:pPr>
            <w:r>
              <w:rPr>
                <w:rFonts w:ascii="Aptos" w:hAnsi="Aptos"/>
                <w:sz w:val="16"/>
              </w:rPr>
            </w:r>
            <w:r>
              <w:rPr>
                <w:rFonts w:ascii="Aptos" w:hAnsi="Aptos"/>
                <w:b w:val="0"/>
                <w:sz w:val="16"/>
              </w:rPr>
              <w:t>Native symbol</w:t>
            </w:r>
          </w:p>
        </w:tc>
        <w:tc>
          <w:tcPr>
            <w:tcW w:type="dxa" w:w="3389"/>
            <w:vAlign w:val="center"/>
            <w:tcMar>
              <w:top w:w="90" w:type="dxa"/>
              <w:start w:w="90" w:type="dxa"/>
              <w:bottom w:w="90" w:type="dxa"/>
              <w:end w:w="90" w:type="dxa"/>
            </w:tcMar>
            <w:shd w:fill="F3F5F7"/>
          </w:tcPr>
          <w:p>
            <w:pPr>
              <w:spacing w:after="0"/>
            </w:pPr>
            <w:r>
              <w:rPr>
                <w:rFonts w:ascii="Aptos" w:hAnsi="Aptos"/>
                <w:sz w:val="16"/>
              </w:rPr>
            </w:r>
            <w:r>
              <w:rPr>
                <w:rFonts w:ascii="Aptos" w:hAnsi="Aptos"/>
                <w:b w:val="0"/>
                <w:sz w:val="16"/>
              </w:rPr>
              <w:t>KPOW</w:t>
            </w:r>
          </w:p>
        </w:tc>
        <w:tc>
          <w:tcPr>
            <w:tcW w:type="dxa" w:w="3389"/>
            <w:vAlign w:val="center"/>
            <w:tcMar>
              <w:top w:w="90" w:type="dxa"/>
              <w:start w:w="90" w:type="dxa"/>
              <w:bottom w:w="90" w:type="dxa"/>
              <w:end w:w="90" w:type="dxa"/>
            </w:tcMar>
            <w:shd w:fill="F3F5F7"/>
          </w:tcPr>
          <w:p>
            <w:pPr>
              <w:spacing w:after="0"/>
            </w:pPr>
            <w:r>
              <w:rPr>
                <w:rFonts w:ascii="Aptos" w:hAnsi="Aptos"/>
                <w:sz w:val="16"/>
              </w:rPr>
            </w:r>
            <w:r>
              <w:rPr>
                <w:rFonts w:ascii="Aptos" w:hAnsi="Aptos"/>
                <w:b w:val="0"/>
                <w:sz w:val="16"/>
              </w:rPr>
              <w:t>Proposed</w:t>
            </w:r>
          </w:p>
        </w:tc>
      </w:tr>
      <w:tr>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Consensus</w:t>
            </w:r>
          </w:p>
        </w:tc>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Proof of Work</w:t>
            </w:r>
          </w:p>
        </w:tc>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Core design</w:t>
            </w:r>
          </w:p>
        </w:tc>
      </w:tr>
      <w:tr>
        <w:tc>
          <w:tcPr>
            <w:tcW w:type="dxa" w:w="3389"/>
            <w:vAlign w:val="center"/>
            <w:tcMar>
              <w:top w:w="90" w:type="dxa"/>
              <w:start w:w="90" w:type="dxa"/>
              <w:bottom w:w="90" w:type="dxa"/>
              <w:end w:w="90" w:type="dxa"/>
            </w:tcMar>
            <w:shd w:fill="F3F5F7"/>
          </w:tcPr>
          <w:p>
            <w:pPr>
              <w:spacing w:after="0"/>
            </w:pPr>
            <w:r>
              <w:rPr>
                <w:rFonts w:ascii="Aptos" w:hAnsi="Aptos"/>
                <w:sz w:val="16"/>
              </w:rPr>
            </w:r>
            <w:r>
              <w:rPr>
                <w:rFonts w:ascii="Aptos" w:hAnsi="Aptos"/>
                <w:b w:val="0"/>
                <w:sz w:val="16"/>
              </w:rPr>
              <w:t>Mining algorithm</w:t>
            </w:r>
          </w:p>
        </w:tc>
        <w:tc>
          <w:tcPr>
            <w:tcW w:type="dxa" w:w="3389"/>
            <w:vAlign w:val="center"/>
            <w:tcMar>
              <w:top w:w="90" w:type="dxa"/>
              <w:start w:w="90" w:type="dxa"/>
              <w:bottom w:w="90" w:type="dxa"/>
              <w:end w:w="90" w:type="dxa"/>
            </w:tcMar>
            <w:shd w:fill="F3F5F7"/>
          </w:tcPr>
          <w:p>
            <w:pPr>
              <w:spacing w:after="0"/>
            </w:pPr>
            <w:r>
              <w:rPr>
                <w:rFonts w:ascii="Aptos" w:hAnsi="Aptos"/>
                <w:sz w:val="16"/>
              </w:rPr>
            </w:r>
            <w:r>
              <w:rPr>
                <w:rFonts w:ascii="Aptos" w:hAnsi="Aptos"/>
                <w:b w:val="0"/>
                <w:sz w:val="16"/>
              </w:rPr>
              <w:t>Ethash</w:t>
            </w:r>
          </w:p>
        </w:tc>
        <w:tc>
          <w:tcPr>
            <w:tcW w:type="dxa" w:w="3389"/>
            <w:vAlign w:val="center"/>
            <w:tcMar>
              <w:top w:w="90" w:type="dxa"/>
              <w:start w:w="90" w:type="dxa"/>
              <w:bottom w:w="90" w:type="dxa"/>
              <w:end w:w="90" w:type="dxa"/>
            </w:tcMar>
            <w:shd w:fill="F3F5F7"/>
          </w:tcPr>
          <w:p>
            <w:pPr>
              <w:spacing w:after="0"/>
            </w:pPr>
            <w:r>
              <w:rPr>
                <w:rFonts w:ascii="Aptos" w:hAnsi="Aptos"/>
                <w:sz w:val="16"/>
              </w:rPr>
            </w:r>
            <w:r>
              <w:rPr>
                <w:rFonts w:ascii="Aptos" w:hAnsi="Aptos"/>
                <w:b w:val="0"/>
                <w:sz w:val="16"/>
              </w:rPr>
              <w:t>Proposed; public testnet validation required</w:t>
            </w:r>
          </w:p>
        </w:tc>
      </w:tr>
      <w:tr>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Client reference</w:t>
            </w:r>
          </w:p>
        </w:tc>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Octa / Core-Geth family</w:t>
            </w:r>
          </w:p>
        </w:tc>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Fork, rename, audit, and reproducible-build work required</w:t>
            </w:r>
          </w:p>
        </w:tc>
      </w:tr>
      <w:tr>
        <w:tc>
          <w:tcPr>
            <w:tcW w:type="dxa" w:w="3389"/>
            <w:vAlign w:val="center"/>
            <w:tcMar>
              <w:top w:w="90" w:type="dxa"/>
              <w:start w:w="90" w:type="dxa"/>
              <w:bottom w:w="90" w:type="dxa"/>
              <w:end w:w="90" w:type="dxa"/>
            </w:tcMar>
            <w:shd w:fill="F3F5F7"/>
          </w:tcPr>
          <w:p>
            <w:pPr>
              <w:spacing w:after="0"/>
            </w:pPr>
            <w:r>
              <w:rPr>
                <w:rFonts w:ascii="Aptos" w:hAnsi="Aptos"/>
                <w:sz w:val="16"/>
              </w:rPr>
            </w:r>
            <w:r>
              <w:rPr>
                <w:rFonts w:ascii="Aptos" w:hAnsi="Aptos"/>
                <w:b w:val="0"/>
                <w:sz w:val="16"/>
              </w:rPr>
              <w:t>Execution</w:t>
            </w:r>
          </w:p>
        </w:tc>
        <w:tc>
          <w:tcPr>
            <w:tcW w:type="dxa" w:w="3389"/>
            <w:vAlign w:val="center"/>
            <w:tcMar>
              <w:top w:w="90" w:type="dxa"/>
              <w:start w:w="90" w:type="dxa"/>
              <w:bottom w:w="90" w:type="dxa"/>
              <w:end w:w="90" w:type="dxa"/>
            </w:tcMar>
            <w:shd w:fill="F3F5F7"/>
          </w:tcPr>
          <w:p>
            <w:pPr>
              <w:spacing w:after="0"/>
            </w:pPr>
            <w:r>
              <w:rPr>
                <w:rFonts w:ascii="Aptos" w:hAnsi="Aptos"/>
                <w:sz w:val="16"/>
              </w:rPr>
            </w:r>
            <w:r>
              <w:rPr>
                <w:rFonts w:ascii="Aptos" w:hAnsi="Aptos"/>
                <w:b w:val="0"/>
                <w:sz w:val="16"/>
              </w:rPr>
              <w:t>EVM compatible</w:t>
            </w:r>
          </w:p>
        </w:tc>
        <w:tc>
          <w:tcPr>
            <w:tcW w:type="dxa" w:w="3389"/>
            <w:vAlign w:val="center"/>
            <w:tcMar>
              <w:top w:w="90" w:type="dxa"/>
              <w:start w:w="90" w:type="dxa"/>
              <w:bottom w:w="90" w:type="dxa"/>
              <w:end w:w="90" w:type="dxa"/>
            </w:tcMar>
            <w:shd w:fill="F3F5F7"/>
          </w:tcPr>
          <w:p>
            <w:pPr>
              <w:spacing w:after="0"/>
            </w:pPr>
            <w:r>
              <w:rPr>
                <w:rFonts w:ascii="Aptos" w:hAnsi="Aptos"/>
                <w:sz w:val="16"/>
              </w:rPr>
            </w:r>
            <w:r>
              <w:rPr>
                <w:rFonts w:ascii="Aptos" w:hAnsi="Aptos"/>
                <w:b w:val="0"/>
                <w:sz w:val="16"/>
              </w:rPr>
              <w:t>Subject to compatibility testing</w:t>
            </w:r>
          </w:p>
        </w:tc>
      </w:tr>
      <w:tr>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Maximum supply</w:t>
            </w:r>
          </w:p>
        </w:tc>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21,000,000 KPOW</w:t>
            </w:r>
          </w:p>
        </w:tc>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Fixed monetary cap</w:t>
            </w:r>
          </w:p>
        </w:tc>
      </w:tr>
      <w:tr>
        <w:tc>
          <w:tcPr>
            <w:tcW w:type="dxa" w:w="3389"/>
            <w:vAlign w:val="center"/>
            <w:tcMar>
              <w:top w:w="90" w:type="dxa"/>
              <w:start w:w="90" w:type="dxa"/>
              <w:bottom w:w="90" w:type="dxa"/>
              <w:end w:w="90" w:type="dxa"/>
            </w:tcMar>
            <w:shd w:fill="F3F5F7"/>
          </w:tcPr>
          <w:p>
            <w:pPr>
              <w:spacing w:after="0"/>
            </w:pPr>
            <w:r>
              <w:rPr>
                <w:rFonts w:ascii="Aptos" w:hAnsi="Aptos"/>
                <w:sz w:val="16"/>
              </w:rPr>
            </w:r>
            <w:r>
              <w:rPr>
                <w:rFonts w:ascii="Aptos" w:hAnsi="Aptos"/>
                <w:b w:val="0"/>
                <w:sz w:val="16"/>
              </w:rPr>
              <w:t>Mining allocation</w:t>
            </w:r>
          </w:p>
        </w:tc>
        <w:tc>
          <w:tcPr>
            <w:tcW w:type="dxa" w:w="3389"/>
            <w:vAlign w:val="center"/>
            <w:tcMar>
              <w:top w:w="90" w:type="dxa"/>
              <w:start w:w="90" w:type="dxa"/>
              <w:bottom w:w="90" w:type="dxa"/>
              <w:end w:w="90" w:type="dxa"/>
            </w:tcMar>
            <w:shd w:fill="F3F5F7"/>
          </w:tcPr>
          <w:p>
            <w:pPr>
              <w:spacing w:after="0"/>
            </w:pPr>
            <w:r>
              <w:rPr>
                <w:rFonts w:ascii="Aptos" w:hAnsi="Aptos"/>
                <w:sz w:val="16"/>
              </w:rPr>
            </w:r>
            <w:r>
              <w:rPr>
                <w:rFonts w:ascii="Aptos" w:hAnsi="Aptos"/>
                <w:b w:val="0"/>
                <w:sz w:val="16"/>
              </w:rPr>
              <w:t>14,700,000 KPOW (70%)</w:t>
            </w:r>
          </w:p>
        </w:tc>
        <w:tc>
          <w:tcPr>
            <w:tcW w:type="dxa" w:w="3389"/>
            <w:vAlign w:val="center"/>
            <w:tcMar>
              <w:top w:w="90" w:type="dxa"/>
              <w:start w:w="90" w:type="dxa"/>
              <w:bottom w:w="90" w:type="dxa"/>
              <w:end w:w="90" w:type="dxa"/>
            </w:tcMar>
            <w:shd w:fill="F3F5F7"/>
          </w:tcPr>
          <w:p>
            <w:pPr>
              <w:spacing w:after="0"/>
            </w:pPr>
            <w:r>
              <w:rPr>
                <w:rFonts w:ascii="Aptos" w:hAnsi="Aptos"/>
                <w:sz w:val="16"/>
              </w:rPr>
            </w:r>
            <w:r>
              <w:rPr>
                <w:rFonts w:ascii="Aptos" w:hAnsi="Aptos"/>
                <w:b w:val="0"/>
                <w:sz w:val="16"/>
              </w:rPr>
              <w:t>Created through valid block rewards</w:t>
            </w:r>
          </w:p>
        </w:tc>
      </w:tr>
      <w:tr>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Ecosystem &amp; Liquidity</w:t>
            </w:r>
          </w:p>
        </w:tc>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4,200,000 KPOW (20%)</w:t>
            </w:r>
          </w:p>
        </w:tc>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Genesis allocation with published controls</w:t>
            </w:r>
          </w:p>
        </w:tc>
      </w:tr>
      <w:tr>
        <w:tc>
          <w:tcPr>
            <w:tcW w:type="dxa" w:w="3389"/>
            <w:vAlign w:val="center"/>
            <w:tcMar>
              <w:top w:w="90" w:type="dxa"/>
              <w:start w:w="90" w:type="dxa"/>
              <w:bottom w:w="90" w:type="dxa"/>
              <w:end w:w="90" w:type="dxa"/>
            </w:tcMar>
            <w:shd w:fill="F3F5F7"/>
          </w:tcPr>
          <w:p>
            <w:pPr>
              <w:spacing w:after="0"/>
            </w:pPr>
            <w:r>
              <w:rPr>
                <w:rFonts w:ascii="Aptos" w:hAnsi="Aptos"/>
                <w:sz w:val="16"/>
              </w:rPr>
            </w:r>
            <w:r>
              <w:rPr>
                <w:rFonts w:ascii="Aptos" w:hAnsi="Aptos"/>
                <w:b w:val="0"/>
                <w:sz w:val="16"/>
              </w:rPr>
              <w:t>Development Fund</w:t>
            </w:r>
          </w:p>
        </w:tc>
        <w:tc>
          <w:tcPr>
            <w:tcW w:type="dxa" w:w="3389"/>
            <w:vAlign w:val="center"/>
            <w:tcMar>
              <w:top w:w="90" w:type="dxa"/>
              <w:start w:w="90" w:type="dxa"/>
              <w:bottom w:w="90" w:type="dxa"/>
              <w:end w:w="90" w:type="dxa"/>
            </w:tcMar>
            <w:shd w:fill="F3F5F7"/>
          </w:tcPr>
          <w:p>
            <w:pPr>
              <w:spacing w:after="0"/>
            </w:pPr>
            <w:r>
              <w:rPr>
                <w:rFonts w:ascii="Aptos" w:hAnsi="Aptos"/>
                <w:sz w:val="16"/>
              </w:rPr>
            </w:r>
            <w:r>
              <w:rPr>
                <w:rFonts w:ascii="Aptos" w:hAnsi="Aptos"/>
                <w:b w:val="0"/>
                <w:sz w:val="16"/>
              </w:rPr>
              <w:t>2,100,000 KPOW (10%)</w:t>
            </w:r>
          </w:p>
        </w:tc>
        <w:tc>
          <w:tcPr>
            <w:tcW w:type="dxa" w:w="3389"/>
            <w:vAlign w:val="center"/>
            <w:tcMar>
              <w:top w:w="90" w:type="dxa"/>
              <w:start w:w="90" w:type="dxa"/>
              <w:bottom w:w="90" w:type="dxa"/>
              <w:end w:w="90" w:type="dxa"/>
            </w:tcMar>
            <w:shd w:fill="F3F5F7"/>
          </w:tcPr>
          <w:p>
            <w:pPr>
              <w:spacing w:after="0"/>
            </w:pPr>
            <w:r>
              <w:rPr>
                <w:rFonts w:ascii="Aptos" w:hAnsi="Aptos"/>
                <w:sz w:val="16"/>
              </w:rPr>
            </w:r>
            <w:r>
              <w:rPr>
                <w:rFonts w:ascii="Aptos" w:hAnsi="Aptos"/>
                <w:b w:val="0"/>
                <w:sz w:val="16"/>
              </w:rPr>
              <w:t>Genesis allocation with published controls</w:t>
            </w:r>
          </w:p>
        </w:tc>
      </w:tr>
      <w:tr>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Block reward</w:t>
            </w:r>
          </w:p>
        </w:tc>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4 KPOW</w:t>
            </w:r>
          </w:p>
        </w:tc>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Constant until terminal reward block</w:t>
            </w:r>
          </w:p>
        </w:tc>
      </w:tr>
      <w:tr>
        <w:tc>
          <w:tcPr>
            <w:tcW w:type="dxa" w:w="3389"/>
            <w:vAlign w:val="center"/>
            <w:tcMar>
              <w:top w:w="90" w:type="dxa"/>
              <w:start w:w="90" w:type="dxa"/>
              <w:bottom w:w="90" w:type="dxa"/>
              <w:end w:w="90" w:type="dxa"/>
            </w:tcMar>
            <w:shd w:fill="F3F5F7"/>
          </w:tcPr>
          <w:p>
            <w:pPr>
              <w:spacing w:after="0"/>
            </w:pPr>
            <w:r>
              <w:rPr>
                <w:rFonts w:ascii="Aptos" w:hAnsi="Aptos"/>
                <w:sz w:val="16"/>
              </w:rPr>
            </w:r>
            <w:r>
              <w:rPr>
                <w:rFonts w:ascii="Aptos" w:hAnsi="Aptos"/>
                <w:b w:val="0"/>
                <w:sz w:val="16"/>
              </w:rPr>
              <w:t>Target block time</w:t>
            </w:r>
          </w:p>
        </w:tc>
        <w:tc>
          <w:tcPr>
            <w:tcW w:type="dxa" w:w="3389"/>
            <w:vAlign w:val="center"/>
            <w:tcMar>
              <w:top w:w="90" w:type="dxa"/>
              <w:start w:w="90" w:type="dxa"/>
              <w:bottom w:w="90" w:type="dxa"/>
              <w:end w:w="90" w:type="dxa"/>
            </w:tcMar>
            <w:shd w:fill="F3F5F7"/>
          </w:tcPr>
          <w:p>
            <w:pPr>
              <w:spacing w:after="0"/>
            </w:pPr>
            <w:r>
              <w:rPr>
                <w:rFonts w:ascii="Aptos" w:hAnsi="Aptos"/>
                <w:sz w:val="16"/>
              </w:rPr>
            </w:r>
            <w:r>
              <w:rPr>
                <w:rFonts w:ascii="Aptos" w:hAnsi="Aptos"/>
                <w:b w:val="0"/>
                <w:sz w:val="16"/>
              </w:rPr>
              <w:t>30 seconds</w:t>
            </w:r>
          </w:p>
        </w:tc>
        <w:tc>
          <w:tcPr>
            <w:tcW w:type="dxa" w:w="3389"/>
            <w:vAlign w:val="center"/>
            <w:tcMar>
              <w:top w:w="90" w:type="dxa"/>
              <w:start w:w="90" w:type="dxa"/>
              <w:bottom w:w="90" w:type="dxa"/>
              <w:end w:w="90" w:type="dxa"/>
            </w:tcMar>
            <w:shd w:fill="F3F5F7"/>
          </w:tcPr>
          <w:p>
            <w:pPr>
              <w:spacing w:after="0"/>
            </w:pPr>
            <w:r>
              <w:rPr>
                <w:rFonts w:ascii="Aptos" w:hAnsi="Aptos"/>
                <w:sz w:val="16"/>
              </w:rPr>
            </w:r>
            <w:r>
              <w:rPr>
                <w:rFonts w:ascii="Aptos" w:hAnsi="Aptos"/>
                <w:b w:val="0"/>
                <w:sz w:val="16"/>
              </w:rPr>
              <w:t>Target; actual intervals vary</w:t>
            </w:r>
          </w:p>
        </w:tc>
      </w:tr>
      <w:tr>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Reward end block</w:t>
            </w:r>
          </w:p>
        </w:tc>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3,675,000</w:t>
            </w:r>
          </w:p>
        </w:tc>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Block subsidy becomes zero afterward</w:t>
            </w:r>
          </w:p>
        </w:tc>
      </w:tr>
      <w:tr>
        <w:tc>
          <w:tcPr>
            <w:tcW w:type="dxa" w:w="3389"/>
            <w:vAlign w:val="center"/>
            <w:tcMar>
              <w:top w:w="90" w:type="dxa"/>
              <w:start w:w="90" w:type="dxa"/>
              <w:bottom w:w="90" w:type="dxa"/>
              <w:end w:w="90" w:type="dxa"/>
            </w:tcMar>
            <w:shd w:fill="F3F5F7"/>
          </w:tcPr>
          <w:p>
            <w:pPr>
              <w:spacing w:after="0"/>
            </w:pPr>
            <w:r>
              <w:rPr>
                <w:rFonts w:ascii="Aptos" w:hAnsi="Aptos"/>
                <w:sz w:val="16"/>
              </w:rPr>
            </w:r>
            <w:r>
              <w:rPr>
                <w:rFonts w:ascii="Aptos" w:hAnsi="Aptos"/>
                <w:b w:val="0"/>
                <w:sz w:val="16"/>
              </w:rPr>
              <w:t>Target mining period</w:t>
            </w:r>
          </w:p>
        </w:tc>
        <w:tc>
          <w:tcPr>
            <w:tcW w:type="dxa" w:w="3389"/>
            <w:vAlign w:val="center"/>
            <w:tcMar>
              <w:top w:w="90" w:type="dxa"/>
              <w:start w:w="90" w:type="dxa"/>
              <w:bottom w:w="90" w:type="dxa"/>
              <w:end w:w="90" w:type="dxa"/>
            </w:tcMar>
            <w:shd w:fill="F3F5F7"/>
          </w:tcPr>
          <w:p>
            <w:pPr>
              <w:spacing w:after="0"/>
            </w:pPr>
            <w:r>
              <w:rPr>
                <w:rFonts w:ascii="Aptos" w:hAnsi="Aptos"/>
                <w:sz w:val="16"/>
              </w:rPr>
            </w:r>
            <w:r>
              <w:rPr>
                <w:rFonts w:ascii="Aptos" w:hAnsi="Aptos"/>
                <w:b w:val="0"/>
                <w:sz w:val="16"/>
              </w:rPr>
              <w:t>Approximately 3.5 years</w:t>
            </w:r>
          </w:p>
        </w:tc>
        <w:tc>
          <w:tcPr>
            <w:tcW w:type="dxa" w:w="3389"/>
            <w:vAlign w:val="center"/>
            <w:tcMar>
              <w:top w:w="90" w:type="dxa"/>
              <w:start w:w="90" w:type="dxa"/>
              <w:bottom w:w="90" w:type="dxa"/>
              <w:end w:w="90" w:type="dxa"/>
            </w:tcMar>
            <w:shd w:fill="F3F5F7"/>
          </w:tcPr>
          <w:p>
            <w:pPr>
              <w:spacing w:after="0"/>
            </w:pPr>
            <w:r>
              <w:rPr>
                <w:rFonts w:ascii="Aptos" w:hAnsi="Aptos"/>
                <w:sz w:val="16"/>
              </w:rPr>
            </w:r>
            <w:r>
              <w:rPr>
                <w:rFonts w:ascii="Aptos" w:hAnsi="Aptos"/>
                <w:b w:val="0"/>
                <w:sz w:val="16"/>
              </w:rPr>
              <w:t>At 30-second average blocks</w:t>
            </w:r>
          </w:p>
        </w:tc>
      </w:tr>
      <w:tr>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Difficulty adjustment</w:t>
            </w:r>
          </w:p>
        </w:tc>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Per block</w:t>
            </w:r>
          </w:p>
        </w:tc>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ASERT or tested equivalent proposed</w:t>
            </w:r>
          </w:p>
        </w:tc>
      </w:tr>
      <w:tr>
        <w:tc>
          <w:tcPr>
            <w:tcW w:type="dxa" w:w="3389"/>
            <w:vAlign w:val="center"/>
            <w:tcMar>
              <w:top w:w="90" w:type="dxa"/>
              <w:start w:w="90" w:type="dxa"/>
              <w:bottom w:w="90" w:type="dxa"/>
              <w:end w:w="90" w:type="dxa"/>
            </w:tcMar>
            <w:shd w:fill="F3F5F7"/>
          </w:tcPr>
          <w:p>
            <w:pPr>
              <w:spacing w:after="0"/>
            </w:pPr>
            <w:r>
              <w:rPr>
                <w:rFonts w:ascii="Aptos" w:hAnsi="Aptos"/>
                <w:sz w:val="16"/>
              </w:rPr>
            </w:r>
            <w:r>
              <w:rPr>
                <w:rFonts w:ascii="Aptos" w:hAnsi="Aptos"/>
                <w:b w:val="0"/>
                <w:sz w:val="16"/>
              </w:rPr>
              <w:t>Address format</w:t>
            </w:r>
          </w:p>
        </w:tc>
        <w:tc>
          <w:tcPr>
            <w:tcW w:type="dxa" w:w="3389"/>
            <w:vAlign w:val="center"/>
            <w:tcMar>
              <w:top w:w="90" w:type="dxa"/>
              <w:start w:w="90" w:type="dxa"/>
              <w:bottom w:w="90" w:type="dxa"/>
              <w:end w:w="90" w:type="dxa"/>
            </w:tcMar>
            <w:shd w:fill="F3F5F7"/>
          </w:tcPr>
          <w:p>
            <w:pPr>
              <w:spacing w:after="0"/>
            </w:pPr>
            <w:r>
              <w:rPr>
                <w:rFonts w:ascii="Aptos" w:hAnsi="Aptos"/>
                <w:sz w:val="16"/>
              </w:rPr>
            </w:r>
            <w:r>
              <w:rPr>
                <w:rFonts w:ascii="Aptos" w:hAnsi="Aptos"/>
                <w:b w:val="0"/>
                <w:sz w:val="16"/>
              </w:rPr>
              <w:t>0x...</w:t>
            </w:r>
          </w:p>
        </w:tc>
        <w:tc>
          <w:tcPr>
            <w:tcW w:type="dxa" w:w="3389"/>
            <w:vAlign w:val="center"/>
            <w:tcMar>
              <w:top w:w="90" w:type="dxa"/>
              <w:start w:w="90" w:type="dxa"/>
              <w:bottom w:w="90" w:type="dxa"/>
              <w:end w:w="90" w:type="dxa"/>
            </w:tcMar>
            <w:shd w:fill="F3F5F7"/>
          </w:tcPr>
          <w:p>
            <w:pPr>
              <w:spacing w:after="0"/>
            </w:pPr>
            <w:r>
              <w:rPr>
                <w:rFonts w:ascii="Aptos" w:hAnsi="Aptos"/>
                <w:sz w:val="16"/>
              </w:rPr>
            </w:r>
            <w:r>
              <w:rPr>
                <w:rFonts w:ascii="Aptos" w:hAnsi="Aptos"/>
                <w:b w:val="0"/>
                <w:sz w:val="16"/>
              </w:rPr>
              <w:t>EVM-compatible accounts</w:t>
            </w:r>
          </w:p>
        </w:tc>
      </w:tr>
      <w:tr>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Mainnet Chain ID</w:t>
            </w:r>
          </w:p>
        </w:tc>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112026 (0x1B59A)</w:t>
            </w:r>
          </w:p>
        </w:tc>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Proposed</w:t>
            </w:r>
          </w:p>
        </w:tc>
      </w:tr>
      <w:tr>
        <w:tc>
          <w:tcPr>
            <w:tcW w:type="dxa" w:w="3389"/>
            <w:vAlign w:val="center"/>
            <w:tcMar>
              <w:top w:w="90" w:type="dxa"/>
              <w:start w:w="90" w:type="dxa"/>
              <w:bottom w:w="90" w:type="dxa"/>
              <w:end w:w="90" w:type="dxa"/>
            </w:tcMar>
            <w:shd w:fill="F3F5F7"/>
          </w:tcPr>
          <w:p>
            <w:pPr>
              <w:spacing w:after="0"/>
            </w:pPr>
            <w:r>
              <w:rPr>
                <w:rFonts w:ascii="Aptos" w:hAnsi="Aptos"/>
                <w:sz w:val="16"/>
              </w:rPr>
            </w:r>
            <w:r>
              <w:rPr>
                <w:rFonts w:ascii="Aptos" w:hAnsi="Aptos"/>
                <w:b w:val="0"/>
                <w:sz w:val="16"/>
              </w:rPr>
              <w:t>Testnet Chain ID</w:t>
            </w:r>
          </w:p>
        </w:tc>
        <w:tc>
          <w:tcPr>
            <w:tcW w:type="dxa" w:w="3389"/>
            <w:vAlign w:val="center"/>
            <w:tcMar>
              <w:top w:w="90" w:type="dxa"/>
              <w:start w:w="90" w:type="dxa"/>
              <w:bottom w:w="90" w:type="dxa"/>
              <w:end w:w="90" w:type="dxa"/>
            </w:tcMar>
            <w:shd w:fill="F3F5F7"/>
          </w:tcPr>
          <w:p>
            <w:pPr>
              <w:spacing w:after="0"/>
            </w:pPr>
            <w:r>
              <w:rPr>
                <w:rFonts w:ascii="Aptos" w:hAnsi="Aptos"/>
                <w:sz w:val="16"/>
              </w:rPr>
            </w:r>
            <w:r>
              <w:rPr>
                <w:rFonts w:ascii="Aptos" w:hAnsi="Aptos"/>
                <w:b w:val="0"/>
                <w:sz w:val="16"/>
              </w:rPr>
              <w:t>122026 (0x1DCAA)</w:t>
            </w:r>
          </w:p>
        </w:tc>
        <w:tc>
          <w:tcPr>
            <w:tcW w:type="dxa" w:w="3389"/>
            <w:vAlign w:val="center"/>
            <w:tcMar>
              <w:top w:w="90" w:type="dxa"/>
              <w:start w:w="90" w:type="dxa"/>
              <w:bottom w:w="90" w:type="dxa"/>
              <w:end w:w="90" w:type="dxa"/>
            </w:tcMar>
            <w:shd w:fill="F3F5F7"/>
          </w:tcPr>
          <w:p>
            <w:pPr>
              <w:spacing w:after="0"/>
            </w:pPr>
            <w:r>
              <w:rPr>
                <w:rFonts w:ascii="Aptos" w:hAnsi="Aptos"/>
                <w:sz w:val="16"/>
              </w:rPr>
            </w:r>
            <w:r>
              <w:rPr>
                <w:rFonts w:ascii="Aptos" w:hAnsi="Aptos"/>
                <w:b w:val="0"/>
                <w:sz w:val="16"/>
              </w:rPr>
              <w:t>Proposed</w:t>
            </w:r>
          </w:p>
        </w:tc>
      </w:tr>
      <w:tr>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P2P port</w:t>
            </w:r>
          </w:p>
        </w:tc>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39000</w:t>
            </w:r>
          </w:p>
        </w:tc>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Node-to-node traffic</w:t>
            </w:r>
          </w:p>
        </w:tc>
      </w:tr>
      <w:tr>
        <w:tc>
          <w:tcPr>
            <w:tcW w:type="dxa" w:w="3389"/>
            <w:vAlign w:val="center"/>
            <w:tcMar>
              <w:top w:w="90" w:type="dxa"/>
              <w:start w:w="90" w:type="dxa"/>
              <w:bottom w:w="90" w:type="dxa"/>
              <w:end w:w="90" w:type="dxa"/>
            </w:tcMar>
            <w:shd w:fill="F3F5F7"/>
          </w:tcPr>
          <w:p>
            <w:pPr>
              <w:spacing w:after="0"/>
            </w:pPr>
            <w:r>
              <w:rPr>
                <w:rFonts w:ascii="Aptos" w:hAnsi="Aptos"/>
                <w:sz w:val="16"/>
              </w:rPr>
            </w:r>
            <w:r>
              <w:rPr>
                <w:rFonts w:ascii="Aptos" w:hAnsi="Aptos"/>
                <w:b w:val="0"/>
                <w:sz w:val="16"/>
              </w:rPr>
              <w:t>JSON-RPC port</w:t>
            </w:r>
          </w:p>
        </w:tc>
        <w:tc>
          <w:tcPr>
            <w:tcW w:type="dxa" w:w="3389"/>
            <w:vAlign w:val="center"/>
            <w:tcMar>
              <w:top w:w="90" w:type="dxa"/>
              <w:start w:w="90" w:type="dxa"/>
              <w:bottom w:w="90" w:type="dxa"/>
              <w:end w:w="90" w:type="dxa"/>
            </w:tcMar>
            <w:shd w:fill="F3F5F7"/>
          </w:tcPr>
          <w:p>
            <w:pPr>
              <w:spacing w:after="0"/>
            </w:pPr>
            <w:r>
              <w:rPr>
                <w:rFonts w:ascii="Aptos" w:hAnsi="Aptos"/>
                <w:sz w:val="16"/>
              </w:rPr>
            </w:r>
            <w:r>
              <w:rPr>
                <w:rFonts w:ascii="Aptos" w:hAnsi="Aptos"/>
                <w:b w:val="0"/>
                <w:sz w:val="16"/>
              </w:rPr>
              <w:t>8545</w:t>
            </w:r>
          </w:p>
        </w:tc>
        <w:tc>
          <w:tcPr>
            <w:tcW w:type="dxa" w:w="3389"/>
            <w:vAlign w:val="center"/>
            <w:tcMar>
              <w:top w:w="90" w:type="dxa"/>
              <w:start w:w="90" w:type="dxa"/>
              <w:bottom w:w="90" w:type="dxa"/>
              <w:end w:w="90" w:type="dxa"/>
            </w:tcMar>
            <w:shd w:fill="F3F5F7"/>
          </w:tcPr>
          <w:p>
            <w:pPr>
              <w:spacing w:after="0"/>
            </w:pPr>
            <w:r>
              <w:rPr>
                <w:rFonts w:ascii="Aptos" w:hAnsi="Aptos"/>
                <w:sz w:val="16"/>
              </w:rPr>
            </w:r>
            <w:r>
              <w:rPr>
                <w:rFonts w:ascii="Aptos" w:hAnsi="Aptos"/>
                <w:b w:val="0"/>
                <w:sz w:val="16"/>
              </w:rPr>
              <w:t>HTTP RPC</w:t>
            </w:r>
          </w:p>
        </w:tc>
      </w:tr>
      <w:tr>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WebSocket port</w:t>
            </w:r>
          </w:p>
        </w:tc>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8546</w:t>
            </w:r>
          </w:p>
        </w:tc>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Event subscriptions</w:t>
            </w:r>
          </w:p>
        </w:tc>
      </w:tr>
    </w:tbl>
    <w:p>
      <w:pPr>
        <w:spacing w:after="20"/>
      </w:pPr>
    </w:p>
    <w:tbl>
      <w:tblPr>
        <w:tblW w:type="auto" w:w="0"/>
        <w:jc w:val="center"/>
        <w:tblLook w:firstColumn="1" w:firstRow="1" w:lastColumn="0" w:lastRow="0" w:noHBand="0" w:noVBand="1" w:val="04A0"/>
      </w:tblPr>
      <w:tblGrid>
        <w:gridCol w:w="10166"/>
      </w:tblGrid>
      <w:tr>
        <w:tc>
          <w:tcPr>
            <w:tcW w:type="dxa" w:w="10166"/>
            <w:shd w:fill="FFF7D6"/>
            <w:tcMar>
              <w:top w:w="140" w:type="dxa"/>
              <w:start w:w="170" w:type="dxa"/>
              <w:bottom w:w="140" w:type="dxa"/>
              <w:end w:w="170" w:type="dxa"/>
            </w:tcMar>
          </w:tcPr>
          <w:p>
            <w:r>
              <w:rPr>
                <w:b/>
                <w:color w:val="C99916"/>
              </w:rPr>
              <w:t>Parameter governance</w:t>
              <w:br/>
            </w:r>
            <w:r>
              <w:t>Consensus-critical values must be finalized before genesis, encoded in the client, documented in the mainnet specification, and validated on public testnet. Changes after launch require transparent upgrade procedures.</w:t>
            </w:r>
          </w:p>
        </w:tc>
      </w:tr>
    </w:tbl>
    <w:p>
      <w:pPr>
        <w:spacing w:after="0"/>
      </w:pPr>
    </w:p>
    <w:p>
      <w:pPr>
        <w:pStyle w:val="Heading2"/>
      </w:pPr>
      <w:r>
        <w:t>6.1 Planned RPC and wallet configuration</w:t>
      </w:r>
    </w:p>
    <w:p>
      <w:pPr/>
      <w:r>
        <w:t>KPOW uses EVM-compatible account addresses and is intended to be added as a custom network in compatible browser and mobile wallets. The public URLs below are planned project endpoints and must not be treated as live until officially announced, monitored, and independently verified.</w:t>
      </w:r>
    </w:p>
    <w:tbl>
      <w:tblPr>
        <w:tblStyle w:val="TableGrid"/>
        <w:tblW w:type="auto" w:w="0"/>
        <w:tblLayout w:type="autofit"/>
        <w:tblLook w:firstColumn="1" w:firstRow="1" w:lastColumn="0" w:lastRow="0" w:noHBand="0" w:noVBand="1" w:val="04A0"/>
      </w:tblPr>
      <w:tblGrid>
        <w:gridCol w:w="3389"/>
        <w:gridCol w:w="3389"/>
        <w:gridCol w:w="3389"/>
      </w:tblGrid>
      <w:tr>
        <w:tc>
          <w:tcPr>
            <w:tcW w:type="dxa" w:w="3389"/>
            <w:vAlign w:val="center"/>
            <w:tcMar>
              <w:top w:w="90" w:type="dxa"/>
              <w:start w:w="90" w:type="dxa"/>
              <w:bottom w:w="90" w:type="dxa"/>
              <w:end w:w="90" w:type="dxa"/>
            </w:tcMar>
            <w:shd w:fill="0A1B2D"/>
          </w:tcPr>
          <w:p>
            <w:pPr>
              <w:spacing w:after="0"/>
            </w:pPr>
            <w:r>
              <w:rPr>
                <w:b/>
                <w:color w:val="FFFFFF"/>
                <w:sz w:val="16"/>
              </w:rPr>
            </w:r>
            <w:r>
              <w:rPr>
                <w:rFonts w:ascii="Aptos" w:hAnsi="Aptos"/>
                <w:b/>
                <w:color w:val="FFFFFF"/>
                <w:sz w:val="16"/>
              </w:rPr>
              <w:t>Wallet field</w:t>
            </w:r>
          </w:p>
        </w:tc>
        <w:tc>
          <w:tcPr>
            <w:tcW w:type="dxa" w:w="3389"/>
            <w:vAlign w:val="center"/>
            <w:tcMar>
              <w:top w:w="90" w:type="dxa"/>
              <w:start w:w="90" w:type="dxa"/>
              <w:bottom w:w="90" w:type="dxa"/>
              <w:end w:w="90" w:type="dxa"/>
            </w:tcMar>
            <w:shd w:fill="0A1B2D"/>
          </w:tcPr>
          <w:p>
            <w:pPr>
              <w:spacing w:after="0"/>
            </w:pPr>
            <w:r>
              <w:rPr>
                <w:b/>
                <w:color w:val="FFFFFF"/>
                <w:sz w:val="16"/>
              </w:rPr>
            </w:r>
            <w:r>
              <w:rPr>
                <w:rFonts w:ascii="Aptos" w:hAnsi="Aptos"/>
                <w:b/>
                <w:color w:val="FFFFFF"/>
                <w:sz w:val="16"/>
              </w:rPr>
              <w:t>KPOW Mainnet</w:t>
            </w:r>
          </w:p>
        </w:tc>
        <w:tc>
          <w:tcPr>
            <w:tcW w:type="dxa" w:w="3389"/>
            <w:vAlign w:val="center"/>
            <w:tcMar>
              <w:top w:w="90" w:type="dxa"/>
              <w:start w:w="90" w:type="dxa"/>
              <w:bottom w:w="90" w:type="dxa"/>
              <w:end w:w="90" w:type="dxa"/>
            </w:tcMar>
            <w:shd w:fill="0A1B2D"/>
          </w:tcPr>
          <w:p>
            <w:pPr>
              <w:spacing w:after="0"/>
            </w:pPr>
            <w:r>
              <w:rPr>
                <w:b/>
                <w:color w:val="FFFFFF"/>
                <w:sz w:val="16"/>
              </w:rPr>
            </w:r>
            <w:r>
              <w:rPr>
                <w:rFonts w:ascii="Aptos" w:hAnsi="Aptos"/>
                <w:b/>
                <w:color w:val="FFFFFF"/>
                <w:sz w:val="16"/>
              </w:rPr>
              <w:t>KPOW Testnet</w:t>
            </w:r>
          </w:p>
        </w:tc>
      </w:tr>
      <w:tr>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Network name</w:t>
            </w:r>
          </w:p>
        </w:tc>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KPOW Mainnet</w:t>
            </w:r>
          </w:p>
        </w:tc>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KPOW Testnet</w:t>
            </w:r>
          </w:p>
        </w:tc>
      </w:tr>
      <w:tr>
        <w:tc>
          <w:tcPr>
            <w:tcW w:type="dxa" w:w="3389"/>
            <w:vAlign w:val="center"/>
            <w:tcMar>
              <w:top w:w="90" w:type="dxa"/>
              <w:start w:w="90" w:type="dxa"/>
              <w:bottom w:w="90" w:type="dxa"/>
              <w:end w:w="90" w:type="dxa"/>
            </w:tcMar>
            <w:shd w:fill="F3F5F7"/>
          </w:tcPr>
          <w:p>
            <w:pPr>
              <w:spacing w:after="0"/>
            </w:pPr>
            <w:r>
              <w:rPr>
                <w:rFonts w:ascii="Aptos" w:hAnsi="Aptos"/>
                <w:sz w:val="16"/>
              </w:rPr>
            </w:r>
            <w:r>
              <w:rPr>
                <w:rFonts w:ascii="Aptos" w:hAnsi="Aptos"/>
                <w:b w:val="0"/>
                <w:sz w:val="16"/>
              </w:rPr>
              <w:t>RPC URL</w:t>
            </w:r>
          </w:p>
        </w:tc>
        <w:tc>
          <w:tcPr>
            <w:tcW w:type="dxa" w:w="3389"/>
            <w:vAlign w:val="center"/>
            <w:tcMar>
              <w:top w:w="90" w:type="dxa"/>
              <w:start w:w="90" w:type="dxa"/>
              <w:bottom w:w="90" w:type="dxa"/>
              <w:end w:w="90" w:type="dxa"/>
            </w:tcMar>
            <w:shd w:fill="F3F5F7"/>
          </w:tcPr>
          <w:p>
            <w:pPr>
              <w:spacing w:after="0"/>
            </w:pPr>
            <w:r>
              <w:rPr>
                <w:rFonts w:ascii="Aptos" w:hAnsi="Aptos"/>
                <w:sz w:val="16"/>
              </w:rPr>
            </w:r>
            <w:r>
              <w:rPr>
                <w:rFonts w:ascii="Aptos" w:hAnsi="Aptos"/>
                <w:b w:val="0"/>
                <w:sz w:val="16"/>
              </w:rPr>
              <w:t>https://rpc.kpowbit.com</w:t>
            </w:r>
          </w:p>
        </w:tc>
        <w:tc>
          <w:tcPr>
            <w:tcW w:type="dxa" w:w="3389"/>
            <w:vAlign w:val="center"/>
            <w:tcMar>
              <w:top w:w="90" w:type="dxa"/>
              <w:start w:w="90" w:type="dxa"/>
              <w:bottom w:w="90" w:type="dxa"/>
              <w:end w:w="90" w:type="dxa"/>
            </w:tcMar>
            <w:shd w:fill="F3F5F7"/>
          </w:tcPr>
          <w:p>
            <w:pPr>
              <w:spacing w:after="0"/>
            </w:pPr>
            <w:r>
              <w:rPr>
                <w:rFonts w:ascii="Aptos" w:hAnsi="Aptos"/>
                <w:sz w:val="16"/>
              </w:rPr>
            </w:r>
            <w:r>
              <w:rPr>
                <w:rFonts w:ascii="Aptos" w:hAnsi="Aptos"/>
                <w:b w:val="0"/>
                <w:sz w:val="16"/>
              </w:rPr>
              <w:t>https://testnet-rpc.kpowbit.com</w:t>
            </w:r>
          </w:p>
        </w:tc>
      </w:tr>
      <w:tr>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WebSocket URL</w:t>
            </w:r>
          </w:p>
        </w:tc>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wss://ws.kpowbit.com</w:t>
            </w:r>
          </w:p>
        </w:tc>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wss://testnet-ws.kpowbit.com</w:t>
            </w:r>
          </w:p>
        </w:tc>
      </w:tr>
      <w:tr>
        <w:tc>
          <w:tcPr>
            <w:tcW w:type="dxa" w:w="3389"/>
            <w:vAlign w:val="center"/>
            <w:tcMar>
              <w:top w:w="90" w:type="dxa"/>
              <w:start w:w="90" w:type="dxa"/>
              <w:bottom w:w="90" w:type="dxa"/>
              <w:end w:w="90" w:type="dxa"/>
            </w:tcMar>
            <w:shd w:fill="F3F5F7"/>
          </w:tcPr>
          <w:p>
            <w:pPr>
              <w:spacing w:after="0"/>
            </w:pPr>
            <w:r>
              <w:rPr>
                <w:rFonts w:ascii="Aptos" w:hAnsi="Aptos"/>
                <w:sz w:val="16"/>
              </w:rPr>
            </w:r>
            <w:r>
              <w:rPr>
                <w:rFonts w:ascii="Aptos" w:hAnsi="Aptos"/>
                <w:b w:val="0"/>
                <w:sz w:val="16"/>
              </w:rPr>
              <w:t>Chain ID</w:t>
            </w:r>
          </w:p>
        </w:tc>
        <w:tc>
          <w:tcPr>
            <w:tcW w:type="dxa" w:w="3389"/>
            <w:vAlign w:val="center"/>
            <w:tcMar>
              <w:top w:w="90" w:type="dxa"/>
              <w:start w:w="90" w:type="dxa"/>
              <w:bottom w:w="90" w:type="dxa"/>
              <w:end w:w="90" w:type="dxa"/>
            </w:tcMar>
            <w:shd w:fill="F3F5F7"/>
          </w:tcPr>
          <w:p>
            <w:pPr>
              <w:spacing w:after="0"/>
            </w:pPr>
            <w:r>
              <w:rPr>
                <w:rFonts w:ascii="Aptos" w:hAnsi="Aptos"/>
                <w:sz w:val="16"/>
              </w:rPr>
            </w:r>
            <w:r>
              <w:rPr>
                <w:rFonts w:ascii="Aptos" w:hAnsi="Aptos"/>
                <w:b w:val="0"/>
                <w:sz w:val="16"/>
              </w:rPr>
              <w:t>112026 / 0x1B59A</w:t>
            </w:r>
          </w:p>
        </w:tc>
        <w:tc>
          <w:tcPr>
            <w:tcW w:type="dxa" w:w="3389"/>
            <w:vAlign w:val="center"/>
            <w:tcMar>
              <w:top w:w="90" w:type="dxa"/>
              <w:start w:w="90" w:type="dxa"/>
              <w:bottom w:w="90" w:type="dxa"/>
              <w:end w:w="90" w:type="dxa"/>
            </w:tcMar>
            <w:shd w:fill="F3F5F7"/>
          </w:tcPr>
          <w:p>
            <w:pPr>
              <w:spacing w:after="0"/>
            </w:pPr>
            <w:r>
              <w:rPr>
                <w:rFonts w:ascii="Aptos" w:hAnsi="Aptos"/>
                <w:sz w:val="16"/>
              </w:rPr>
            </w:r>
            <w:r>
              <w:rPr>
                <w:rFonts w:ascii="Aptos" w:hAnsi="Aptos"/>
                <w:b w:val="0"/>
                <w:sz w:val="16"/>
              </w:rPr>
              <w:t>122026 / 0x1DCAA</w:t>
            </w:r>
          </w:p>
        </w:tc>
      </w:tr>
      <w:tr>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Currency symbol</w:t>
            </w:r>
          </w:p>
        </w:tc>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KPOW</w:t>
            </w:r>
          </w:p>
        </w:tc>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KPOW test token</w:t>
            </w:r>
          </w:p>
        </w:tc>
      </w:tr>
      <w:tr>
        <w:tc>
          <w:tcPr>
            <w:tcW w:type="dxa" w:w="3389"/>
            <w:vAlign w:val="center"/>
            <w:tcMar>
              <w:top w:w="90" w:type="dxa"/>
              <w:start w:w="90" w:type="dxa"/>
              <w:bottom w:w="90" w:type="dxa"/>
              <w:end w:w="90" w:type="dxa"/>
            </w:tcMar>
            <w:shd w:fill="F3F5F7"/>
          </w:tcPr>
          <w:p>
            <w:pPr>
              <w:spacing w:after="0"/>
            </w:pPr>
            <w:r>
              <w:rPr>
                <w:rFonts w:ascii="Aptos" w:hAnsi="Aptos"/>
                <w:sz w:val="16"/>
              </w:rPr>
            </w:r>
            <w:r>
              <w:rPr>
                <w:rFonts w:ascii="Aptos" w:hAnsi="Aptos"/>
                <w:b w:val="0"/>
                <w:sz w:val="16"/>
              </w:rPr>
              <w:t>Explorer</w:t>
            </w:r>
          </w:p>
        </w:tc>
        <w:tc>
          <w:tcPr>
            <w:tcW w:type="dxa" w:w="3389"/>
            <w:vAlign w:val="center"/>
            <w:tcMar>
              <w:top w:w="90" w:type="dxa"/>
              <w:start w:w="90" w:type="dxa"/>
              <w:bottom w:w="90" w:type="dxa"/>
              <w:end w:w="90" w:type="dxa"/>
            </w:tcMar>
            <w:shd w:fill="F3F5F7"/>
          </w:tcPr>
          <w:p>
            <w:pPr>
              <w:spacing w:after="0"/>
            </w:pPr>
            <w:r>
              <w:rPr>
                <w:rFonts w:ascii="Aptos" w:hAnsi="Aptos"/>
                <w:sz w:val="16"/>
              </w:rPr>
            </w:r>
            <w:r>
              <w:rPr>
                <w:rFonts w:ascii="Aptos" w:hAnsi="Aptos"/>
                <w:b w:val="0"/>
                <w:sz w:val="16"/>
              </w:rPr>
              <w:t>https://scan.kpowbit.com</w:t>
            </w:r>
          </w:p>
        </w:tc>
        <w:tc>
          <w:tcPr>
            <w:tcW w:type="dxa" w:w="3389"/>
            <w:vAlign w:val="center"/>
            <w:tcMar>
              <w:top w:w="90" w:type="dxa"/>
              <w:start w:w="90" w:type="dxa"/>
              <w:bottom w:w="90" w:type="dxa"/>
              <w:end w:w="90" w:type="dxa"/>
            </w:tcMar>
            <w:shd w:fill="F3F5F7"/>
          </w:tcPr>
          <w:p>
            <w:pPr>
              <w:spacing w:after="0"/>
            </w:pPr>
            <w:r>
              <w:rPr>
                <w:rFonts w:ascii="Aptos" w:hAnsi="Aptos"/>
                <w:sz w:val="16"/>
              </w:rPr>
            </w:r>
            <w:r>
              <w:rPr>
                <w:rFonts w:ascii="Aptos" w:hAnsi="Aptos"/>
                <w:b w:val="0"/>
                <w:sz w:val="16"/>
              </w:rPr>
              <w:t>https://testnet-scan.kpowbit.com</w:t>
            </w:r>
          </w:p>
        </w:tc>
      </w:tr>
      <w:tr>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Current status</w:t>
            </w:r>
          </w:p>
        </w:tc>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Planned - not live until announced</w:t>
            </w:r>
          </w:p>
        </w:tc>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Planned - not live until announced</w:t>
            </w:r>
          </w:p>
        </w:tc>
      </w:tr>
    </w:tbl>
    <w:p>
      <w:pPr/>
      <w:r>
        <w:t>Proposed project allocation address: 0xad87d5514e5f40c83240c390b06339b834cb7e67. This address must not be used for deposits or purchases unless its purpose, authorized signers, chain, and official status are published through verified project channels.</w:t>
      </w:r>
    </w:p>
    <w:p>
      <w:pPr>
        <w:pStyle w:val="Heading1"/>
      </w:pPr>
      <w:r>
        <w:t>7. Monetary Policy and Mining Schedule</w:t>
      </w:r>
    </w:p>
    <w:p>
      <w:pPr>
        <w:jc w:val="left"/>
      </w:pPr>
      <w:r>
        <w:rPr>
          <w:b/>
          <w:color w:val="5A6778"/>
          <w:sz w:val="22"/>
        </w:rPr>
        <w:t>A constant 4 KPOW subsidy until block 3,675,000</w:t>
      </w:r>
    </w:p>
    <w:p>
      <w:r>
        <w:t>The protocol mining allocation is 14,700,000 KPOW, equal to 70% of the 21,000,000 maximum supply. Each valid block produces 4 KPOW until block 3,675,000. After the terminal reward block, the block subsidy becomes zero and miners must rely on transaction fees or other protocol-approved compensation that does not exceed the maximum supply.</w:t>
      </w:r>
    </w:p>
    <w:p>
      <w:pPr>
        <w:jc w:val="center"/>
      </w:pPr>
      <w:r>
        <w:drawing>
          <wp:inline xmlns:a="http://schemas.openxmlformats.org/drawingml/2006/main" xmlns:pic="http://schemas.openxmlformats.org/drawingml/2006/picture">
            <wp:extent cx="6400800" cy="3539177"/>
            <wp:docPr id="3" name="Picture 3"/>
            <wp:cNvGraphicFramePr>
              <a:graphicFrameLocks noChangeAspect="1"/>
            </wp:cNvGraphicFramePr>
            <a:graphic>
              <a:graphicData uri="http://schemas.openxmlformats.org/drawingml/2006/picture">
                <pic:pic>
                  <pic:nvPicPr>
                    <pic:cNvPr id="0" name="emission.png"/>
                    <pic:cNvPicPr/>
                  </pic:nvPicPr>
                  <pic:blipFill>
                    <a:blip r:embed="rId15"/>
                    <a:stretch>
                      <a:fillRect/>
                    </a:stretch>
                  </pic:blipFill>
                  <pic:spPr>
                    <a:xfrm>
                      <a:off x="0" y="0"/>
                      <a:ext cx="6400800" cy="3539177"/>
                    </a:xfrm>
                    <a:prstGeom prst="rect"/>
                  </pic:spPr>
                </pic:pic>
              </a:graphicData>
            </a:graphic>
          </wp:inline>
        </w:drawing>
      </w:r>
    </w:p>
    <w:p>
      <w:pPr>
        <w:jc w:val="center"/>
      </w:pPr>
      <w:r>
        <w:rPr>
          <w:i/>
          <w:color w:val="5A6778"/>
          <w:sz w:val="16"/>
        </w:rPr>
        <w:t>Figure 2. Target cumulative mining emission at 4 KPOW per block and a 30-second target block time.</w:t>
      </w:r>
    </w:p>
    <w:tbl>
      <w:tblPr>
        <w:tblStyle w:val="TableGrid"/>
        <w:tblW w:type="auto" w:w="0"/>
        <w:jc w:val="center"/>
        <w:tblLook w:firstColumn="1" w:firstRow="1" w:lastColumn="0" w:lastRow="0" w:noHBand="0" w:noVBand="1" w:val="04A0"/>
      </w:tblPr>
      <w:tblGrid>
        <w:gridCol w:w="3389"/>
        <w:gridCol w:w="3389"/>
        <w:gridCol w:w="3389"/>
      </w:tblGrid>
      <w:tr>
        <w:trPr>
          <w:tblHeader w:val="true"/>
        </w:trPr>
        <w:tc>
          <w:tcPr>
            <w:tcW w:type="dxa" w:w="3389"/>
            <w:shd w:fill="0B1728"/>
            <w:tcMar>
              <w:top w:w="100" w:type="dxa"/>
              <w:start w:w="120" w:type="dxa"/>
              <w:bottom w:w="100" w:type="dxa"/>
              <w:end w:w="120" w:type="dxa"/>
            </w:tcMar>
            <w:vAlign w:val="center"/>
          </w:tcPr>
          <w:p>
            <w:pPr>
              <w:jc w:val="left"/>
            </w:pPr>
            <w:r>
              <w:rPr>
                <w:b/>
                <w:color w:val="FFFFFF"/>
                <w:sz w:val="17"/>
              </w:rPr>
              <w:t>Metric</w:t>
            </w:r>
          </w:p>
        </w:tc>
        <w:tc>
          <w:tcPr>
            <w:tcW w:type="dxa" w:w="3389"/>
            <w:shd w:fill="0B1728"/>
            <w:tcMar>
              <w:top w:w="100" w:type="dxa"/>
              <w:start w:w="120" w:type="dxa"/>
              <w:bottom w:w="100" w:type="dxa"/>
              <w:end w:w="120" w:type="dxa"/>
            </w:tcMar>
            <w:vAlign w:val="center"/>
          </w:tcPr>
          <w:p>
            <w:pPr>
              <w:jc w:val="left"/>
            </w:pPr>
            <w:r>
              <w:rPr>
                <w:b/>
                <w:color w:val="FFFFFF"/>
                <w:sz w:val="17"/>
              </w:rPr>
              <w:t>Calculation</w:t>
            </w:r>
          </w:p>
        </w:tc>
        <w:tc>
          <w:tcPr>
            <w:tcW w:type="dxa" w:w="3389"/>
            <w:shd w:fill="0B1728"/>
            <w:tcMar>
              <w:top w:w="100" w:type="dxa"/>
              <w:start w:w="120" w:type="dxa"/>
              <w:bottom w:w="100" w:type="dxa"/>
              <w:end w:w="120" w:type="dxa"/>
            </w:tcMar>
            <w:vAlign w:val="center"/>
          </w:tcPr>
          <w:p>
            <w:pPr>
              <w:jc w:val="left"/>
            </w:pPr>
            <w:r>
              <w:rPr>
                <w:b/>
                <w:color w:val="FFFFFF"/>
                <w:sz w:val="17"/>
              </w:rPr>
              <w:t>Result</w:t>
            </w:r>
          </w:p>
        </w:tc>
      </w:tr>
      <w:tr>
        <w:tc>
          <w:tcPr>
            <w:tcW w:type="dxa" w:w="3389"/>
            <w:tcMar>
              <w:top w:w="100" w:type="dxa"/>
              <w:start w:w="120" w:type="dxa"/>
              <w:bottom w:w="100" w:type="dxa"/>
              <w:end w:w="120" w:type="dxa"/>
            </w:tcMar>
            <w:vAlign w:val="center"/>
          </w:tcPr>
          <w:p>
            <w:r>
              <w:rPr>
                <w:sz w:val="16"/>
              </w:rPr>
              <w:t>Mining allocation</w:t>
            </w:r>
          </w:p>
        </w:tc>
        <w:tc>
          <w:tcPr>
            <w:tcW w:type="dxa" w:w="3389"/>
            <w:tcMar>
              <w:top w:w="100" w:type="dxa"/>
              <w:start w:w="120" w:type="dxa"/>
              <w:bottom w:w="100" w:type="dxa"/>
              <w:end w:w="120" w:type="dxa"/>
            </w:tcMar>
            <w:vAlign w:val="center"/>
          </w:tcPr>
          <w:p>
            <w:r>
              <w:rPr>
                <w:sz w:val="16"/>
              </w:rPr>
              <w:t>4 KPOW × 3,675,000 blocks</w:t>
            </w:r>
          </w:p>
        </w:tc>
        <w:tc>
          <w:tcPr>
            <w:tcW w:type="dxa" w:w="3389"/>
            <w:tcMar>
              <w:top w:w="100" w:type="dxa"/>
              <w:start w:w="120" w:type="dxa"/>
              <w:bottom w:w="100" w:type="dxa"/>
              <w:end w:w="120" w:type="dxa"/>
            </w:tcMar>
            <w:vAlign w:val="center"/>
          </w:tcPr>
          <w:p>
            <w:r>
              <w:rPr>
                <w:sz w:val="16"/>
              </w:rPr>
              <w:t>14,700,000 KPOW</w:t>
            </w:r>
          </w:p>
        </w:tc>
      </w:tr>
      <w:tr>
        <w:tc>
          <w:tcPr>
            <w:tcW w:type="dxa" w:w="3389"/>
            <w:tcMar>
              <w:top w:w="100" w:type="dxa"/>
              <w:start w:w="120" w:type="dxa"/>
              <w:bottom w:w="100" w:type="dxa"/>
              <w:end w:w="120" w:type="dxa"/>
            </w:tcMar>
            <w:shd w:fill="F5F7FA"/>
            <w:vAlign w:val="center"/>
          </w:tcPr>
          <w:p>
            <w:r>
              <w:rPr>
                <w:sz w:val="16"/>
              </w:rPr>
              <w:t>Target blocks per day</w:t>
            </w:r>
          </w:p>
        </w:tc>
        <w:tc>
          <w:tcPr>
            <w:tcW w:type="dxa" w:w="3389"/>
            <w:tcMar>
              <w:top w:w="100" w:type="dxa"/>
              <w:start w:w="120" w:type="dxa"/>
              <w:bottom w:w="100" w:type="dxa"/>
              <w:end w:w="120" w:type="dxa"/>
            </w:tcMar>
            <w:shd w:fill="F5F7FA"/>
            <w:vAlign w:val="center"/>
          </w:tcPr>
          <w:p>
            <w:r>
              <w:rPr>
                <w:sz w:val="16"/>
              </w:rPr>
              <w:t>86,400 seconds ÷ 30 seconds</w:t>
            </w:r>
          </w:p>
        </w:tc>
        <w:tc>
          <w:tcPr>
            <w:tcW w:type="dxa" w:w="3389"/>
            <w:tcMar>
              <w:top w:w="100" w:type="dxa"/>
              <w:start w:w="120" w:type="dxa"/>
              <w:bottom w:w="100" w:type="dxa"/>
              <w:end w:w="120" w:type="dxa"/>
            </w:tcMar>
            <w:shd w:fill="F5F7FA"/>
            <w:vAlign w:val="center"/>
          </w:tcPr>
          <w:p>
            <w:r>
              <w:rPr>
                <w:sz w:val="16"/>
              </w:rPr>
              <w:t>2,880 blocks</w:t>
            </w:r>
          </w:p>
        </w:tc>
      </w:tr>
      <w:tr>
        <w:tc>
          <w:tcPr>
            <w:tcW w:type="dxa" w:w="3389"/>
            <w:tcMar>
              <w:top w:w="100" w:type="dxa"/>
              <w:start w:w="120" w:type="dxa"/>
              <w:bottom w:w="100" w:type="dxa"/>
              <w:end w:w="120" w:type="dxa"/>
            </w:tcMar>
            <w:vAlign w:val="center"/>
          </w:tcPr>
          <w:p>
            <w:r>
              <w:rPr>
                <w:sz w:val="16"/>
              </w:rPr>
              <w:t>Target daily emission</w:t>
            </w:r>
          </w:p>
        </w:tc>
        <w:tc>
          <w:tcPr>
            <w:tcW w:type="dxa" w:w="3389"/>
            <w:tcMar>
              <w:top w:w="100" w:type="dxa"/>
              <w:start w:w="120" w:type="dxa"/>
              <w:bottom w:w="100" w:type="dxa"/>
              <w:end w:w="120" w:type="dxa"/>
            </w:tcMar>
            <w:vAlign w:val="center"/>
          </w:tcPr>
          <w:p>
            <w:r>
              <w:rPr>
                <w:sz w:val="16"/>
              </w:rPr>
              <w:t>2,880 × 4 KPOW</w:t>
            </w:r>
          </w:p>
        </w:tc>
        <w:tc>
          <w:tcPr>
            <w:tcW w:type="dxa" w:w="3389"/>
            <w:tcMar>
              <w:top w:w="100" w:type="dxa"/>
              <w:start w:w="120" w:type="dxa"/>
              <w:bottom w:w="100" w:type="dxa"/>
              <w:end w:w="120" w:type="dxa"/>
            </w:tcMar>
            <w:vAlign w:val="center"/>
          </w:tcPr>
          <w:p>
            <w:r>
              <w:rPr>
                <w:sz w:val="16"/>
              </w:rPr>
              <w:t>11,520 KPOW</w:t>
            </w:r>
          </w:p>
        </w:tc>
      </w:tr>
      <w:tr>
        <w:tc>
          <w:tcPr>
            <w:tcW w:type="dxa" w:w="3389"/>
            <w:tcMar>
              <w:top w:w="100" w:type="dxa"/>
              <w:start w:w="120" w:type="dxa"/>
              <w:bottom w:w="100" w:type="dxa"/>
              <w:end w:w="120" w:type="dxa"/>
            </w:tcMar>
            <w:shd w:fill="F5F7FA"/>
            <w:vAlign w:val="center"/>
          </w:tcPr>
          <w:p>
            <w:r>
              <w:rPr>
                <w:sz w:val="16"/>
              </w:rPr>
              <w:t>Target mining duration</w:t>
            </w:r>
          </w:p>
        </w:tc>
        <w:tc>
          <w:tcPr>
            <w:tcW w:type="dxa" w:w="3389"/>
            <w:tcMar>
              <w:top w:w="100" w:type="dxa"/>
              <w:start w:w="120" w:type="dxa"/>
              <w:bottom w:w="100" w:type="dxa"/>
              <w:end w:w="120" w:type="dxa"/>
            </w:tcMar>
            <w:shd w:fill="F5F7FA"/>
            <w:vAlign w:val="center"/>
          </w:tcPr>
          <w:p>
            <w:r>
              <w:rPr>
                <w:sz w:val="16"/>
              </w:rPr>
              <w:t>3,675,000 × 30 seconds</w:t>
            </w:r>
          </w:p>
        </w:tc>
        <w:tc>
          <w:tcPr>
            <w:tcW w:type="dxa" w:w="3389"/>
            <w:tcMar>
              <w:top w:w="100" w:type="dxa"/>
              <w:start w:w="120" w:type="dxa"/>
              <w:bottom w:w="100" w:type="dxa"/>
              <w:end w:w="120" w:type="dxa"/>
            </w:tcMar>
            <w:shd w:fill="F5F7FA"/>
            <w:vAlign w:val="center"/>
          </w:tcPr>
          <w:p>
            <w:r>
              <w:rPr>
                <w:sz w:val="16"/>
              </w:rPr>
              <w:t>110,250,000 seconds</w:t>
            </w:r>
          </w:p>
        </w:tc>
      </w:tr>
      <w:tr>
        <w:tc>
          <w:tcPr>
            <w:tcW w:type="dxa" w:w="3389"/>
            <w:tcMar>
              <w:top w:w="100" w:type="dxa"/>
              <w:start w:w="120" w:type="dxa"/>
              <w:bottom w:w="100" w:type="dxa"/>
              <w:end w:w="120" w:type="dxa"/>
            </w:tcMar>
            <w:vAlign w:val="center"/>
          </w:tcPr>
          <w:p>
            <w:r>
              <w:rPr>
                <w:sz w:val="16"/>
              </w:rPr>
              <w:t>Approximate duration</w:t>
            </w:r>
          </w:p>
        </w:tc>
        <w:tc>
          <w:tcPr>
            <w:tcW w:type="dxa" w:w="3389"/>
            <w:tcMar>
              <w:top w:w="100" w:type="dxa"/>
              <w:start w:w="120" w:type="dxa"/>
              <w:bottom w:w="100" w:type="dxa"/>
              <w:end w:w="120" w:type="dxa"/>
            </w:tcMar>
            <w:vAlign w:val="center"/>
          </w:tcPr>
          <w:p>
            <w:r>
              <w:rPr>
                <w:sz w:val="16"/>
              </w:rPr>
              <w:t>110,250,000 ÷ 31,557,600</w:t>
            </w:r>
          </w:p>
        </w:tc>
        <w:tc>
          <w:tcPr>
            <w:tcW w:type="dxa" w:w="3389"/>
            <w:tcMar>
              <w:top w:w="100" w:type="dxa"/>
              <w:start w:w="120" w:type="dxa"/>
              <w:bottom w:w="100" w:type="dxa"/>
              <w:end w:w="120" w:type="dxa"/>
            </w:tcMar>
            <w:vAlign w:val="center"/>
          </w:tcPr>
          <w:p>
            <w:r>
              <w:rPr>
                <w:sz w:val="16"/>
              </w:rPr>
              <w:t>3.49 years</w:t>
            </w:r>
          </w:p>
        </w:tc>
      </w:tr>
    </w:tbl>
    <w:p>
      <w:pPr>
        <w:spacing w:after="20"/>
      </w:pPr>
    </w:p>
    <w:p>
      <w:r>
        <w:br w:type="page"/>
      </w:r>
    </w:p>
    <w:p>
      <w:pPr>
        <w:pStyle w:val="Heading1"/>
      </w:pPr>
      <w:r>
        <w:t>7.1 Mining Economics After Subsidy</w:t>
      </w:r>
    </w:p>
    <w:p>
      <w:pPr>
        <w:jc w:val="left"/>
      </w:pPr>
      <w:r>
        <w:rPr>
          <w:b/>
          <w:color w:val="5A6778"/>
          <w:sz w:val="22"/>
        </w:rPr>
        <w:t>No halving schedule and a defined terminal reward block</w:t>
      </w:r>
    </w:p>
    <w:p>
      <w:r>
        <w:t>The current design uses a constant block reward rather than periodic halvings. This simplifies supply accounting and makes the terminal mining date easier to estimate. It also concentrates subsidy issuance into a relatively short period, so network security, miner economics, circulating supply, exchange liquidity, and fee sustainability must be studied carefully during testnet.</w:t>
      </w:r>
    </w:p>
    <w:p>
      <w:pPr>
        <w:pStyle w:val="Heading2"/>
      </w:pPr>
      <w:r>
        <w:t>7.2 Transaction fees after subsidy</w:t>
      </w:r>
    </w:p>
    <w:p>
      <w:r>
        <w:t>Base-layer transaction fees are expected to compensate miners as the subsidy approaches zero. Fee-market behavior, minimum relay policy, block gas limits, transaction demand, and post-subsidy security require simulation and stress testing before mainnet.</w:t>
      </w:r>
    </w:p>
    <w:p>
      <w:r>
        <w:t>The project should monitor the percentage of miner revenue produced by subsidy versus fees throughout testnet and mainnet. If fee demand is insufficient, security may decline when the block subsidy ends. Any response must preserve the 21 million maximum supply and be disclosed through transparent protocol governance.</w:t>
      </w:r>
    </w:p>
    <w:p>
      <w:pPr>
        <w:pStyle w:val="Heading2"/>
      </w:pPr>
      <w:r>
        <w:t>7.3 Supply accounting</w:t>
      </w:r>
    </w:p>
    <w:p>
      <w:r>
        <w:t>Maximum supply, mined supply, genesis allocation, circulating supply, locked supply, treasury balances, and vesting balances should be reported separately. Unmined protocol rewards must not be represented as circulating supply.</w:t>
      </w:r>
    </w:p>
    <w:tbl>
      <w:tblPr>
        <w:tblW w:type="auto" w:w="0"/>
        <w:jc w:val="center"/>
        <w:tblLook w:firstColumn="1" w:firstRow="1" w:lastColumn="0" w:lastRow="0" w:noHBand="0" w:noVBand="1" w:val="04A0"/>
      </w:tblPr>
      <w:tblGrid>
        <w:gridCol w:w="10166"/>
      </w:tblGrid>
      <w:tr>
        <w:tc>
          <w:tcPr>
            <w:tcW w:type="dxa" w:w="10166"/>
            <w:shd w:fill="FFF7D6"/>
            <w:tcMar>
              <w:top w:w="140" w:type="dxa"/>
              <w:start w:w="170" w:type="dxa"/>
              <w:bottom w:w="140" w:type="dxa"/>
              <w:end w:w="170" w:type="dxa"/>
            </w:tcMar>
          </w:tcPr>
          <w:p>
            <w:r>
              <w:rPr>
                <w:b/>
                <w:color w:val="C99916"/>
              </w:rPr>
              <w:t>Post-subsidy test requirement</w:t>
              <w:br/>
            </w:r>
            <w:r>
              <w:t>Before mainnet, stress tests should model low fees, changing hashrate, block-space demand, pool concentration, and miner exit around block 3,675,000.</w:t>
            </w:r>
          </w:p>
        </w:tc>
      </w:tr>
    </w:tbl>
    <w:p>
      <w:pPr>
        <w:spacing w:after="0"/>
      </w:pPr>
    </w:p>
    <w:p>
      <w:r>
        <w:br w:type="page"/>
      </w:r>
    </w:p>
    <w:p>
      <w:pPr>
        <w:pStyle w:val="Heading1"/>
      </w:pPr>
      <w:r>
        <w:t>8. Tokenomics and Distribution</w:t>
      </w:r>
    </w:p>
    <w:p>
      <w:pPr>
        <w:jc w:val="left"/>
      </w:pPr>
      <w:r>
        <w:rPr>
          <w:b/>
          <w:color w:val="5A6778"/>
          <w:sz w:val="22"/>
        </w:rPr>
        <w:t>A 70/20/10 allocation centered on Proof of Work</w:t>
      </w:r>
    </w:p>
    <w:p>
      <w:pPr>
        <w:jc w:val="center"/>
      </w:pPr>
      <w:r>
        <w:drawing>
          <wp:inline xmlns:a="http://schemas.openxmlformats.org/drawingml/2006/main" xmlns:pic="http://schemas.openxmlformats.org/drawingml/2006/picture">
            <wp:extent cx="5943600" cy="6876893"/>
            <wp:docPr id="4" name="Picture 4"/>
            <wp:cNvGraphicFramePr>
              <a:graphicFrameLocks noChangeAspect="1"/>
            </wp:cNvGraphicFramePr>
            <a:graphic>
              <a:graphicData uri="http://schemas.openxmlformats.org/drawingml/2006/picture">
                <pic:pic>
                  <pic:nvPicPr>
                    <pic:cNvPr id="0" name="tokenomics.png"/>
                    <pic:cNvPicPr/>
                  </pic:nvPicPr>
                  <pic:blipFill>
                    <a:blip r:embed="rId16"/>
                    <a:stretch>
                      <a:fillRect/>
                    </a:stretch>
                  </pic:blipFill>
                  <pic:spPr>
                    <a:xfrm>
                      <a:off x="0" y="0"/>
                      <a:ext cx="5943600" cy="6876893"/>
                    </a:xfrm>
                    <a:prstGeom prst="rect"/>
                  </pic:spPr>
                </pic:pic>
              </a:graphicData>
            </a:graphic>
          </wp:inline>
        </w:drawing>
      </w:r>
    </w:p>
    <w:p>
      <w:pPr>
        <w:jc w:val="center"/>
      </w:pPr>
      <w:r>
        <w:rPr>
          <w:i/>
          <w:color w:val="5A6778"/>
          <w:sz w:val="16"/>
        </w:rPr>
        <w:t>Figure 3. Proposed KPOW maximum-supply allocation.</w:t>
      </w:r>
    </w:p>
    <w:p>
      <w:r>
        <w:br w:type="page"/>
      </w:r>
    </w:p>
    <w:p>
      <w:pPr>
        <w:pStyle w:val="Heading1"/>
      </w:pPr>
      <w:r>
        <w:t>8.1 Allocation Details</w:t>
      </w:r>
    </w:p>
    <w:p>
      <w:pPr>
        <w:jc w:val="left"/>
      </w:pPr>
      <w:r>
        <w:rPr>
          <w:b/>
          <w:color w:val="5A6778"/>
          <w:sz w:val="22"/>
        </w:rPr>
        <w:t>Purpose, controls, and circulating-supply treatment</w:t>
      </w:r>
    </w:p>
    <w:tbl>
      <w:tblPr>
        <w:tblStyle w:val="TableGrid"/>
        <w:tblW w:type="auto" w:w="0"/>
        <w:jc w:val="center"/>
        <w:tblLook w:firstColumn="1" w:firstRow="1" w:lastColumn="0" w:lastRow="0" w:noHBand="0" w:noVBand="1" w:val="04A0"/>
      </w:tblPr>
      <w:tblGrid>
        <w:gridCol w:w="2541"/>
        <w:gridCol w:w="2541"/>
        <w:gridCol w:w="2541"/>
        <w:gridCol w:w="2541"/>
      </w:tblGrid>
      <w:tr>
        <w:trPr>
          <w:tblHeader w:val="true"/>
        </w:trPr>
        <w:tc>
          <w:tcPr>
            <w:tcW w:type="dxa" w:w="2541"/>
            <w:shd w:fill="0B1728"/>
            <w:tcMar>
              <w:top w:w="100" w:type="dxa"/>
              <w:start w:w="120" w:type="dxa"/>
              <w:bottom w:w="100" w:type="dxa"/>
              <w:end w:w="120" w:type="dxa"/>
            </w:tcMar>
            <w:vAlign w:val="center"/>
          </w:tcPr>
          <w:p>
            <w:pPr>
              <w:jc w:val="left"/>
            </w:pPr>
            <w:r>
              <w:rPr>
                <w:b/>
                <w:color w:val="FFFFFF"/>
                <w:sz w:val="17"/>
              </w:rPr>
              <w:t>Allocation</w:t>
            </w:r>
          </w:p>
        </w:tc>
        <w:tc>
          <w:tcPr>
            <w:tcW w:type="dxa" w:w="2541"/>
            <w:shd w:fill="0B1728"/>
            <w:tcMar>
              <w:top w:w="100" w:type="dxa"/>
              <w:start w:w="120" w:type="dxa"/>
              <w:bottom w:w="100" w:type="dxa"/>
              <w:end w:w="120" w:type="dxa"/>
            </w:tcMar>
            <w:vAlign w:val="center"/>
          </w:tcPr>
          <w:p>
            <w:pPr>
              <w:jc w:val="left"/>
            </w:pPr>
            <w:r>
              <w:rPr>
                <w:b/>
                <w:color w:val="FFFFFF"/>
                <w:sz w:val="17"/>
              </w:rPr>
              <w:t>Share</w:t>
            </w:r>
          </w:p>
        </w:tc>
        <w:tc>
          <w:tcPr>
            <w:tcW w:type="dxa" w:w="2541"/>
            <w:shd w:fill="0B1728"/>
            <w:tcMar>
              <w:top w:w="100" w:type="dxa"/>
              <w:start w:w="120" w:type="dxa"/>
              <w:bottom w:w="100" w:type="dxa"/>
              <w:end w:w="120" w:type="dxa"/>
            </w:tcMar>
            <w:vAlign w:val="center"/>
          </w:tcPr>
          <w:p>
            <w:pPr>
              <w:jc w:val="left"/>
            </w:pPr>
            <w:r>
              <w:rPr>
                <w:b/>
                <w:color w:val="FFFFFF"/>
                <w:sz w:val="17"/>
              </w:rPr>
              <w:t>KPOW amount</w:t>
            </w:r>
          </w:p>
        </w:tc>
        <w:tc>
          <w:tcPr>
            <w:tcW w:type="dxa" w:w="2541"/>
            <w:shd w:fill="0B1728"/>
            <w:tcMar>
              <w:top w:w="100" w:type="dxa"/>
              <w:start w:w="120" w:type="dxa"/>
              <w:bottom w:w="100" w:type="dxa"/>
              <w:end w:w="120" w:type="dxa"/>
            </w:tcMar>
            <w:vAlign w:val="center"/>
          </w:tcPr>
          <w:p>
            <w:pPr>
              <w:jc w:val="left"/>
            </w:pPr>
            <w:r>
              <w:rPr>
                <w:b/>
                <w:color w:val="FFFFFF"/>
                <w:sz w:val="17"/>
              </w:rPr>
              <w:t>Primary purpose</w:t>
            </w:r>
          </w:p>
        </w:tc>
      </w:tr>
      <w:tr>
        <w:tc>
          <w:tcPr>
            <w:tcW w:type="dxa" w:w="2541"/>
            <w:tcMar>
              <w:top w:w="100" w:type="dxa"/>
              <w:start w:w="120" w:type="dxa"/>
              <w:bottom w:w="100" w:type="dxa"/>
              <w:end w:w="120" w:type="dxa"/>
            </w:tcMar>
            <w:vAlign w:val="center"/>
          </w:tcPr>
          <w:p>
            <w:r>
              <w:rPr>
                <w:sz w:val="16"/>
              </w:rPr>
              <w:t>Proof-of-Work Mining</w:t>
            </w:r>
          </w:p>
        </w:tc>
        <w:tc>
          <w:tcPr>
            <w:tcW w:type="dxa" w:w="2541"/>
            <w:tcMar>
              <w:top w:w="100" w:type="dxa"/>
              <w:start w:w="120" w:type="dxa"/>
              <w:bottom w:w="100" w:type="dxa"/>
              <w:end w:w="120" w:type="dxa"/>
            </w:tcMar>
            <w:vAlign w:val="center"/>
          </w:tcPr>
          <w:p>
            <w:r>
              <w:rPr>
                <w:sz w:val="16"/>
              </w:rPr>
              <w:t>70%</w:t>
            </w:r>
          </w:p>
        </w:tc>
        <w:tc>
          <w:tcPr>
            <w:tcW w:type="dxa" w:w="2541"/>
            <w:tcMar>
              <w:top w:w="100" w:type="dxa"/>
              <w:start w:w="120" w:type="dxa"/>
              <w:bottom w:w="100" w:type="dxa"/>
              <w:end w:w="120" w:type="dxa"/>
            </w:tcMar>
            <w:vAlign w:val="center"/>
          </w:tcPr>
          <w:p>
            <w:r>
              <w:rPr>
                <w:sz w:val="16"/>
              </w:rPr>
              <w:t>14,700,000</w:t>
            </w:r>
          </w:p>
        </w:tc>
        <w:tc>
          <w:tcPr>
            <w:tcW w:type="dxa" w:w="2541"/>
            <w:tcMar>
              <w:top w:w="100" w:type="dxa"/>
              <w:start w:w="120" w:type="dxa"/>
              <w:bottom w:w="100" w:type="dxa"/>
              <w:end w:w="120" w:type="dxa"/>
            </w:tcMar>
            <w:vAlign w:val="center"/>
          </w:tcPr>
          <w:p>
            <w:r>
              <w:rPr>
                <w:sz w:val="16"/>
              </w:rPr>
              <w:t>Block rewards through block 3,675,000</w:t>
            </w:r>
          </w:p>
        </w:tc>
      </w:tr>
      <w:tr>
        <w:tc>
          <w:tcPr>
            <w:tcW w:type="dxa" w:w="2541"/>
            <w:tcMar>
              <w:top w:w="100" w:type="dxa"/>
              <w:start w:w="120" w:type="dxa"/>
              <w:bottom w:w="100" w:type="dxa"/>
              <w:end w:w="120" w:type="dxa"/>
            </w:tcMar>
            <w:shd w:fill="F5F7FA"/>
            <w:vAlign w:val="center"/>
          </w:tcPr>
          <w:p>
            <w:r>
              <w:rPr>
                <w:sz w:val="16"/>
              </w:rPr>
              <w:t>Ecosystem &amp; Liquidity</w:t>
            </w:r>
          </w:p>
        </w:tc>
        <w:tc>
          <w:tcPr>
            <w:tcW w:type="dxa" w:w="2541"/>
            <w:tcMar>
              <w:top w:w="100" w:type="dxa"/>
              <w:start w:w="120" w:type="dxa"/>
              <w:bottom w:w="100" w:type="dxa"/>
              <w:end w:w="120" w:type="dxa"/>
            </w:tcMar>
            <w:shd w:fill="F5F7FA"/>
            <w:vAlign w:val="center"/>
          </w:tcPr>
          <w:p>
            <w:r>
              <w:rPr>
                <w:sz w:val="16"/>
              </w:rPr>
              <w:t>20%</w:t>
            </w:r>
          </w:p>
        </w:tc>
        <w:tc>
          <w:tcPr>
            <w:tcW w:type="dxa" w:w="2541"/>
            <w:tcMar>
              <w:top w:w="100" w:type="dxa"/>
              <w:start w:w="120" w:type="dxa"/>
              <w:bottom w:w="100" w:type="dxa"/>
              <w:end w:w="120" w:type="dxa"/>
            </w:tcMar>
            <w:shd w:fill="F5F7FA"/>
            <w:vAlign w:val="center"/>
          </w:tcPr>
          <w:p>
            <w:r>
              <w:rPr>
                <w:sz w:val="16"/>
              </w:rPr>
              <w:t>4,200,000</w:t>
            </w:r>
          </w:p>
        </w:tc>
        <w:tc>
          <w:tcPr>
            <w:tcW w:type="dxa" w:w="2541"/>
            <w:tcMar>
              <w:top w:w="100" w:type="dxa"/>
              <w:start w:w="120" w:type="dxa"/>
              <w:bottom w:w="100" w:type="dxa"/>
              <w:end w:w="120" w:type="dxa"/>
            </w:tcMar>
            <w:shd w:fill="F5F7FA"/>
            <w:vAlign w:val="center"/>
          </w:tcPr>
          <w:p>
            <w:r>
              <w:rPr>
                <w:sz w:val="16"/>
              </w:rPr>
              <w:t>Presale, liquidity, community programs, listings, incentives, grants, ecosystem growth</w:t>
            </w:r>
          </w:p>
        </w:tc>
      </w:tr>
      <w:tr>
        <w:tc>
          <w:tcPr>
            <w:tcW w:type="dxa" w:w="2541"/>
            <w:tcMar>
              <w:top w:w="100" w:type="dxa"/>
              <w:start w:w="120" w:type="dxa"/>
              <w:bottom w:w="100" w:type="dxa"/>
              <w:end w:w="120" w:type="dxa"/>
            </w:tcMar>
            <w:vAlign w:val="center"/>
          </w:tcPr>
          <w:p>
            <w:r>
              <w:rPr>
                <w:sz w:val="16"/>
              </w:rPr>
              <w:t>Development Fund</w:t>
            </w:r>
          </w:p>
        </w:tc>
        <w:tc>
          <w:tcPr>
            <w:tcW w:type="dxa" w:w="2541"/>
            <w:tcMar>
              <w:top w:w="100" w:type="dxa"/>
              <w:start w:w="120" w:type="dxa"/>
              <w:bottom w:w="100" w:type="dxa"/>
              <w:end w:w="120" w:type="dxa"/>
            </w:tcMar>
            <w:vAlign w:val="center"/>
          </w:tcPr>
          <w:p>
            <w:r>
              <w:rPr>
                <w:sz w:val="16"/>
              </w:rPr>
              <w:t>10%</w:t>
            </w:r>
          </w:p>
        </w:tc>
        <w:tc>
          <w:tcPr>
            <w:tcW w:type="dxa" w:w="2541"/>
            <w:tcMar>
              <w:top w:w="100" w:type="dxa"/>
              <w:start w:w="120" w:type="dxa"/>
              <w:bottom w:w="100" w:type="dxa"/>
              <w:end w:w="120" w:type="dxa"/>
            </w:tcMar>
            <w:vAlign w:val="center"/>
          </w:tcPr>
          <w:p>
            <w:r>
              <w:rPr>
                <w:sz w:val="16"/>
              </w:rPr>
              <w:t>2,100,000</w:t>
            </w:r>
          </w:p>
        </w:tc>
        <w:tc>
          <w:tcPr>
            <w:tcW w:type="dxa" w:w="2541"/>
            <w:tcMar>
              <w:top w:w="100" w:type="dxa"/>
              <w:start w:w="120" w:type="dxa"/>
              <w:bottom w:w="100" w:type="dxa"/>
              <w:end w:w="120" w:type="dxa"/>
            </w:tcMar>
            <w:vAlign w:val="center"/>
          </w:tcPr>
          <w:p>
            <w:r>
              <w:rPr>
                <w:sz w:val="16"/>
              </w:rPr>
              <w:t>Engineering, audits, infrastructure, operations, legal/compliance, integrations, long-term development</w:t>
            </w:r>
          </w:p>
        </w:tc>
      </w:tr>
    </w:tbl>
    <w:p>
      <w:pPr>
        <w:spacing w:after="20"/>
      </w:pPr>
    </w:p>
    <w:p>
      <w:pPr>
        <w:pStyle w:val="Heading2"/>
      </w:pPr>
      <w:r>
        <w:t>8.2 Proof-of-Work Mining - 70%</w:t>
      </w:r>
    </w:p>
    <w:p>
      <w:r>
        <w:t>This allocation enters circulation only through valid blocks. It is not held in an insider wallet before mining. The terminal block and maximum mining emission are deterministic under the proposed consensus rules.</w:t>
      </w:r>
    </w:p>
    <w:p>
      <w:pPr>
        <w:pStyle w:val="Heading2"/>
      </w:pPr>
      <w:r>
        <w:t>8.3 Ecosystem &amp; Liquidity - 20%</w:t>
      </w:r>
    </w:p>
    <w:p>
      <w:r>
        <w:t>This allocation may support the presale, exchange liquidity, community airdrops, user incentives, market integration, ecosystem grants, and future marketplace bootstrap programs. Exact sub-allocations, lockups, and release schedules must be published before the corresponding program begins.</w:t>
      </w:r>
    </w:p>
    <w:p>
      <w:pPr>
        <w:pStyle w:val="Heading2"/>
      </w:pPr>
      <w:r>
        <w:t>8.4 Development Fund - 10%</w:t>
      </w:r>
    </w:p>
    <w:p>
      <w:r>
        <w:t>The development fund supports node and wallet engineering, explorer and RPC infrastructure, security audits, exchange and marketplace development, legal and compliance work, operations, integrations, documentation, and long-term maintenance. The fund should be held under multi-signature control with public addresses and periodic reporting.</w:t>
      </w:r>
    </w:p>
    <w:p>
      <w:pPr>
        <w:pStyle w:val="Heading2"/>
      </w:pPr>
      <w:r>
        <w:t>8.5 Circulating supply</w:t>
      </w:r>
    </w:p>
    <w:p>
      <w:r>
        <w:t>Initial circulating supply is not defined by the maximum supply alone. It depends on presale release, liquidity provisioning, airdrop distribution, development-fund lockups, and mined blocks. A circulating-supply policy and wallet disclosure should be published before market launch.</w:t>
      </w:r>
    </w:p>
    <w:p>
      <w:r>
        <w:br w:type="page"/>
      </w:r>
    </w:p>
    <w:p>
      <w:pPr>
        <w:pStyle w:val="Heading1"/>
      </w:pPr>
      <w:r>
        <w:t>9. Presale Framework</w:t>
      </w:r>
    </w:p>
    <w:p>
      <w:pPr>
        <w:jc w:val="left"/>
      </w:pPr>
      <w:r>
        <w:rPr>
          <w:b/>
          <w:color w:val="5A6778"/>
          <w:sz w:val="22"/>
        </w:rPr>
        <w:t>Planned before KPOW Network and KpowBIT Exchange release</w:t>
      </w:r>
    </w:p>
    <w:p>
      <w:r>
        <w:t>The KPOW presale is planned before the public release of KpowBIT Exchange. Presale KPOW must come from the Ecosystem &amp; Liquidity allocation; it does not increase the 21 million maximum supply.</w:t>
      </w:r>
    </w:p>
    <w:tbl>
      <w:tblPr>
        <w:tblStyle w:val="TableGrid"/>
        <w:tblW w:type="auto" w:w="0"/>
        <w:jc w:val="center"/>
        <w:tblLook w:firstColumn="1" w:firstRow="1" w:lastColumn="0" w:lastRow="0" w:noHBand="0" w:noVBand="1" w:val="04A0"/>
      </w:tblPr>
      <w:tblGrid>
        <w:gridCol w:w="5083"/>
        <w:gridCol w:w="5083"/>
      </w:tblGrid>
      <w:tr>
        <w:trPr>
          <w:tblHeader w:val="true"/>
        </w:trPr>
        <w:tc>
          <w:tcPr>
            <w:tcW w:type="dxa" w:w="5083"/>
            <w:shd w:fill="0B1728"/>
            <w:tcMar>
              <w:top w:w="100" w:type="dxa"/>
              <w:start w:w="120" w:type="dxa"/>
              <w:bottom w:w="100" w:type="dxa"/>
              <w:end w:w="120" w:type="dxa"/>
            </w:tcMar>
            <w:vAlign w:val="center"/>
          </w:tcPr>
          <w:p>
            <w:pPr>
              <w:jc w:val="left"/>
            </w:pPr>
            <w:r>
              <w:rPr>
                <w:b/>
                <w:color w:val="FFFFFF"/>
                <w:sz w:val="17"/>
              </w:rPr>
              <w:t>Presale design area</w:t>
            </w:r>
          </w:p>
        </w:tc>
        <w:tc>
          <w:tcPr>
            <w:tcW w:type="dxa" w:w="5083"/>
            <w:shd w:fill="0B1728"/>
            <w:tcMar>
              <w:top w:w="100" w:type="dxa"/>
              <w:start w:w="120" w:type="dxa"/>
              <w:bottom w:w="100" w:type="dxa"/>
              <w:end w:w="120" w:type="dxa"/>
            </w:tcMar>
            <w:vAlign w:val="center"/>
          </w:tcPr>
          <w:p>
            <w:pPr>
              <w:jc w:val="left"/>
            </w:pPr>
            <w:r>
              <w:rPr>
                <w:b/>
                <w:color w:val="FFFFFF"/>
                <w:sz w:val="17"/>
              </w:rPr>
              <w:t>Proposed approach</w:t>
            </w:r>
          </w:p>
        </w:tc>
      </w:tr>
      <w:tr>
        <w:tc>
          <w:tcPr>
            <w:tcW w:type="dxa" w:w="5083"/>
            <w:tcMar>
              <w:top w:w="100" w:type="dxa"/>
              <w:start w:w="120" w:type="dxa"/>
              <w:bottom w:w="100" w:type="dxa"/>
              <w:end w:w="120" w:type="dxa"/>
            </w:tcMar>
            <w:vAlign w:val="center"/>
          </w:tcPr>
          <w:p>
            <w:r>
              <w:rPr>
                <w:sz w:val="16"/>
              </w:rPr>
              <w:t>Payment asset</w:t>
            </w:r>
          </w:p>
        </w:tc>
        <w:tc>
          <w:tcPr>
            <w:tcW w:type="dxa" w:w="5083"/>
            <w:tcMar>
              <w:top w:w="100" w:type="dxa"/>
              <w:start w:w="120" w:type="dxa"/>
              <w:bottom w:w="100" w:type="dxa"/>
              <w:end w:w="120" w:type="dxa"/>
            </w:tcMar>
            <w:vAlign w:val="center"/>
          </w:tcPr>
          <w:p>
            <w:r>
              <w:rPr>
                <w:sz w:val="16"/>
              </w:rPr>
              <w:t>USDT only</w:t>
            </w:r>
          </w:p>
        </w:tc>
      </w:tr>
      <w:tr>
        <w:tc>
          <w:tcPr>
            <w:tcW w:type="dxa" w:w="5083"/>
            <w:tcMar>
              <w:top w:w="100" w:type="dxa"/>
              <w:start w:w="120" w:type="dxa"/>
              <w:bottom w:w="100" w:type="dxa"/>
              <w:end w:w="120" w:type="dxa"/>
            </w:tcMar>
            <w:shd w:fill="F5F7FA"/>
            <w:vAlign w:val="center"/>
          </w:tcPr>
          <w:p>
            <w:r>
              <w:rPr>
                <w:sz w:val="16"/>
              </w:rPr>
              <w:t>Supported payment networks</w:t>
            </w:r>
          </w:p>
        </w:tc>
        <w:tc>
          <w:tcPr>
            <w:tcW w:type="dxa" w:w="5083"/>
            <w:tcMar>
              <w:top w:w="100" w:type="dxa"/>
              <w:start w:w="120" w:type="dxa"/>
              <w:bottom w:w="100" w:type="dxa"/>
              <w:end w:w="120" w:type="dxa"/>
            </w:tcMar>
            <w:shd w:fill="F5F7FA"/>
            <w:vAlign w:val="center"/>
          </w:tcPr>
          <w:p>
            <w:r>
              <w:rPr>
                <w:sz w:val="16"/>
              </w:rPr>
              <w:t>Ethereum, BNB Smart Chain, and Polygon, subject to final configuration</w:t>
            </w:r>
          </w:p>
        </w:tc>
      </w:tr>
      <w:tr>
        <w:tc>
          <w:tcPr>
            <w:tcW w:type="dxa" w:w="5083"/>
            <w:tcMar>
              <w:top w:w="100" w:type="dxa"/>
              <w:start w:w="120" w:type="dxa"/>
              <w:bottom w:w="100" w:type="dxa"/>
              <w:end w:w="120" w:type="dxa"/>
            </w:tcMar>
            <w:vAlign w:val="center"/>
          </w:tcPr>
          <w:p>
            <w:r>
              <w:rPr>
                <w:sz w:val="16"/>
              </w:rPr>
              <w:t>Allocation record</w:t>
            </w:r>
          </w:p>
        </w:tc>
        <w:tc>
          <w:tcPr>
            <w:tcW w:type="dxa" w:w="5083"/>
            <w:tcMar>
              <w:top w:w="100" w:type="dxa"/>
              <w:start w:w="120" w:type="dxa"/>
              <w:bottom w:w="100" w:type="dxa"/>
              <w:end w:w="120" w:type="dxa"/>
            </w:tcMar>
            <w:vAlign w:val="center"/>
          </w:tcPr>
          <w:p>
            <w:r>
              <w:rPr>
                <w:sz w:val="16"/>
              </w:rPr>
              <w:t>KPOW receiving address and verified payment transaction</w:t>
            </w:r>
          </w:p>
        </w:tc>
      </w:tr>
      <w:tr>
        <w:tc>
          <w:tcPr>
            <w:tcW w:type="dxa" w:w="5083"/>
            <w:tcMar>
              <w:top w:w="100" w:type="dxa"/>
              <w:start w:w="120" w:type="dxa"/>
              <w:bottom w:w="100" w:type="dxa"/>
              <w:end w:w="120" w:type="dxa"/>
            </w:tcMar>
            <w:shd w:fill="F5F7FA"/>
            <w:vAlign w:val="center"/>
          </w:tcPr>
          <w:p>
            <w:r>
              <w:rPr>
                <w:sz w:val="16"/>
              </w:rPr>
              <w:t>Price</w:t>
            </w:r>
          </w:p>
        </w:tc>
        <w:tc>
          <w:tcPr>
            <w:tcW w:type="dxa" w:w="5083"/>
            <w:tcMar>
              <w:top w:w="100" w:type="dxa"/>
              <w:start w:w="120" w:type="dxa"/>
              <w:bottom w:w="100" w:type="dxa"/>
              <w:end w:w="120" w:type="dxa"/>
            </w:tcMar>
            <w:shd w:fill="F5F7FA"/>
            <w:vAlign w:val="center"/>
          </w:tcPr>
          <w:p>
            <w:r>
              <w:rPr>
                <w:sz w:val="16"/>
              </w:rPr>
              <w:t>To be published in official presale terms</w:t>
            </w:r>
          </w:p>
        </w:tc>
      </w:tr>
      <w:tr>
        <w:tc>
          <w:tcPr>
            <w:tcW w:type="dxa" w:w="5083"/>
            <w:tcMar>
              <w:top w:w="100" w:type="dxa"/>
              <w:start w:w="120" w:type="dxa"/>
              <w:bottom w:w="100" w:type="dxa"/>
              <w:end w:w="120" w:type="dxa"/>
            </w:tcMar>
            <w:vAlign w:val="center"/>
          </w:tcPr>
          <w:p>
            <w:r>
              <w:rPr>
                <w:sz w:val="16"/>
              </w:rPr>
              <w:t>Minimum / maximum</w:t>
            </w:r>
          </w:p>
        </w:tc>
        <w:tc>
          <w:tcPr>
            <w:tcW w:type="dxa" w:w="5083"/>
            <w:tcMar>
              <w:top w:w="100" w:type="dxa"/>
              <w:start w:w="120" w:type="dxa"/>
              <w:bottom w:w="100" w:type="dxa"/>
              <w:end w:w="120" w:type="dxa"/>
            </w:tcMar>
            <w:vAlign w:val="center"/>
          </w:tcPr>
          <w:p>
            <w:r>
              <w:rPr>
                <w:sz w:val="16"/>
              </w:rPr>
              <w:t>To be published and enforced per wallet / participant</w:t>
            </w:r>
          </w:p>
        </w:tc>
      </w:tr>
      <w:tr>
        <w:tc>
          <w:tcPr>
            <w:tcW w:type="dxa" w:w="5083"/>
            <w:tcMar>
              <w:top w:w="100" w:type="dxa"/>
              <w:start w:w="120" w:type="dxa"/>
              <w:bottom w:w="100" w:type="dxa"/>
              <w:end w:w="120" w:type="dxa"/>
            </w:tcMar>
            <w:shd w:fill="F5F7FA"/>
            <w:vAlign w:val="center"/>
          </w:tcPr>
          <w:p>
            <w:r>
              <w:rPr>
                <w:sz w:val="16"/>
              </w:rPr>
              <w:t>Hard cap</w:t>
            </w:r>
          </w:p>
        </w:tc>
        <w:tc>
          <w:tcPr>
            <w:tcW w:type="dxa" w:w="5083"/>
            <w:tcMar>
              <w:top w:w="100" w:type="dxa"/>
              <w:start w:w="120" w:type="dxa"/>
              <w:bottom w:w="100" w:type="dxa"/>
              <w:end w:w="120" w:type="dxa"/>
            </w:tcMar>
            <w:shd w:fill="F5F7FA"/>
            <w:vAlign w:val="center"/>
          </w:tcPr>
          <w:p>
            <w:r>
              <w:rPr>
                <w:sz w:val="16"/>
              </w:rPr>
              <w:t>Limited by the published presale sub-allocation</w:t>
            </w:r>
          </w:p>
        </w:tc>
      </w:tr>
      <w:tr>
        <w:tc>
          <w:tcPr>
            <w:tcW w:type="dxa" w:w="5083"/>
            <w:tcMar>
              <w:top w:w="100" w:type="dxa"/>
              <w:start w:w="120" w:type="dxa"/>
              <w:bottom w:w="100" w:type="dxa"/>
              <w:end w:w="120" w:type="dxa"/>
            </w:tcMar>
            <w:vAlign w:val="center"/>
          </w:tcPr>
          <w:p>
            <w:r>
              <w:rPr>
                <w:sz w:val="16"/>
              </w:rPr>
              <w:t>Vesting / delivery</w:t>
            </w:r>
          </w:p>
        </w:tc>
        <w:tc>
          <w:tcPr>
            <w:tcW w:type="dxa" w:w="5083"/>
            <w:tcMar>
              <w:top w:w="100" w:type="dxa"/>
              <w:start w:w="120" w:type="dxa"/>
              <w:bottom w:w="100" w:type="dxa"/>
              <w:end w:w="120" w:type="dxa"/>
            </w:tcMar>
            <w:vAlign w:val="center"/>
          </w:tcPr>
          <w:p>
            <w:r>
              <w:rPr>
                <w:sz w:val="16"/>
              </w:rPr>
              <w:t>To be disclosed before purchase and implemented through auditable records or contracts</w:t>
            </w:r>
          </w:p>
        </w:tc>
      </w:tr>
      <w:tr>
        <w:tc>
          <w:tcPr>
            <w:tcW w:type="dxa" w:w="5083"/>
            <w:tcMar>
              <w:top w:w="100" w:type="dxa"/>
              <w:start w:w="120" w:type="dxa"/>
              <w:bottom w:w="100" w:type="dxa"/>
              <w:end w:w="120" w:type="dxa"/>
            </w:tcMar>
            <w:shd w:fill="F5F7FA"/>
            <w:vAlign w:val="center"/>
          </w:tcPr>
          <w:p>
            <w:r>
              <w:rPr>
                <w:sz w:val="16"/>
              </w:rPr>
              <w:t>Eligibility</w:t>
            </w:r>
          </w:p>
        </w:tc>
        <w:tc>
          <w:tcPr>
            <w:tcW w:type="dxa" w:w="5083"/>
            <w:tcMar>
              <w:top w:w="100" w:type="dxa"/>
              <w:start w:w="120" w:type="dxa"/>
              <w:bottom w:w="100" w:type="dxa"/>
              <w:end w:w="120" w:type="dxa"/>
            </w:tcMar>
            <w:shd w:fill="F5F7FA"/>
            <w:vAlign w:val="center"/>
          </w:tcPr>
          <w:p>
            <w:r>
              <w:rPr>
                <w:sz w:val="16"/>
              </w:rPr>
              <w:t>May require KYC, sanctions screening, jurisdiction restrictions, and acceptance of terms</w:t>
            </w:r>
          </w:p>
        </w:tc>
      </w:tr>
    </w:tbl>
    <w:p>
      <w:pPr>
        <w:spacing w:after="20"/>
      </w:pPr>
    </w:p>
    <w:p>
      <w:pPr>
        <w:pStyle w:val="ListBullet"/>
        <w:ind w:left="317" w:hanging="202"/>
      </w:pPr>
      <w:r>
        <w:t>Presale proceeds should be received by disclosed treasury or multi-signature addresses.</w:t>
      </w:r>
    </w:p>
    <w:p>
      <w:pPr>
        <w:pStyle w:val="ListBullet"/>
        <w:ind w:left="317" w:hanging="202"/>
      </w:pPr>
      <w:r>
        <w:t>Payment token contracts and treasury addresses must be published for each supported network.</w:t>
      </w:r>
    </w:p>
    <w:p>
      <w:pPr>
        <w:pStyle w:val="ListBullet"/>
        <w:ind w:left="317" w:hanging="202"/>
      </w:pPr>
      <w:r>
        <w:t>Transaction verification should confirm chain ID, USDT contract, payer, recipient, amount, receipt status, and confirmations.</w:t>
      </w:r>
    </w:p>
    <w:p>
      <w:pPr>
        <w:pStyle w:val="ListBullet"/>
        <w:ind w:left="317" w:hanging="202"/>
      </w:pPr>
      <w:r>
        <w:t>Presale dashboards must distinguish committed, paid, verified, distributed, locked, refunded, and rejected allocations.</w:t>
      </w:r>
    </w:p>
    <w:p>
      <w:pPr>
        <w:pStyle w:val="ListBullet"/>
        <w:ind w:left="317" w:hanging="202"/>
      </w:pPr>
      <w:r>
        <w:t>No presale page should promise guaranteed listing price, liquidity, return, mining profit, or token appreciation.</w:t>
      </w:r>
    </w:p>
    <w:tbl>
      <w:tblPr>
        <w:tblW w:type="auto" w:w="0"/>
        <w:jc w:val="center"/>
        <w:tblLook w:firstColumn="1" w:firstRow="1" w:lastColumn="0" w:lastRow="0" w:noHBand="0" w:noVBand="1" w:val="04A0"/>
      </w:tblPr>
      <w:tblGrid>
        <w:gridCol w:w="10166"/>
      </w:tblGrid>
      <w:tr>
        <w:tc>
          <w:tcPr>
            <w:tcW w:type="dxa" w:w="10166"/>
            <w:shd w:fill="FFF7D6"/>
            <w:tcMar>
              <w:top w:w="140" w:type="dxa"/>
              <w:start w:w="170" w:type="dxa"/>
              <w:bottom w:w="140" w:type="dxa"/>
              <w:end w:w="170" w:type="dxa"/>
            </w:tcMar>
          </w:tcPr>
          <w:p>
            <w:r>
              <w:rPr>
                <w:b/>
                <w:color w:val="C99916"/>
              </w:rPr>
              <w:t>Presale disclosure requirement</w:t>
              <w:br/>
            </w:r>
            <w:r>
              <w:t>Final price, allocation, schedule, wallet addresses, vesting, refund policy, restricted jurisdictions, and delivery mechanism must be released in a separate official Presale Terms document before payments are enabled.</w:t>
            </w:r>
          </w:p>
        </w:tc>
      </w:tr>
    </w:tbl>
    <w:p>
      <w:pPr>
        <w:spacing w:after="0"/>
      </w:pPr>
    </w:p>
    <w:p>
      <w:r>
        <w:br w:type="page"/>
      </w:r>
    </w:p>
    <w:p>
      <w:pPr>
        <w:pStyle w:val="Heading1"/>
      </w:pPr>
      <w:r>
        <w:t>10. KpowBIT Exchange</w:t>
      </w:r>
    </w:p>
    <w:p>
      <w:pPr>
        <w:jc w:val="left"/>
      </w:pPr>
      <w:r>
        <w:rPr>
          <w:b/>
          <w:color w:val="5A6778"/>
          <w:sz w:val="22"/>
        </w:rPr>
        <w:t>The market layer planned after KPOW Network launch</w:t>
      </w:r>
    </w:p>
    <w:p>
      <w:r>
        <w:t>KpowBIT Exchange is planned after the KPOW Network testnet and mainnet milestones. This sequencing allows the exchange to integrate the native KPOW chain, confirmations, deposits, withdrawals, explorer links, and network monitoring as part of its initial KPOW market support.</w:t>
      </w:r>
    </w:p>
    <w:tbl>
      <w:tblPr>
        <w:tblStyle w:val="TableGrid"/>
        <w:tblW w:type="auto" w:w="0"/>
        <w:jc w:val="center"/>
        <w:tblLook w:firstColumn="1" w:firstRow="1" w:lastColumn="0" w:lastRow="0" w:noHBand="0" w:noVBand="1" w:val="04A0"/>
      </w:tblPr>
      <w:tblGrid>
        <w:gridCol w:w="5083"/>
        <w:gridCol w:w="5083"/>
      </w:tblGrid>
      <w:tr>
        <w:trPr>
          <w:tblHeader w:val="true"/>
        </w:trPr>
        <w:tc>
          <w:tcPr>
            <w:tcW w:type="dxa" w:w="5083"/>
            <w:shd w:fill="0B1728"/>
            <w:tcMar>
              <w:top w:w="100" w:type="dxa"/>
              <w:start w:w="120" w:type="dxa"/>
              <w:bottom w:w="100" w:type="dxa"/>
              <w:end w:w="120" w:type="dxa"/>
            </w:tcMar>
            <w:vAlign w:val="center"/>
          </w:tcPr>
          <w:p>
            <w:pPr>
              <w:jc w:val="left"/>
            </w:pPr>
            <w:r>
              <w:rPr>
                <w:b/>
                <w:color w:val="FFFFFF"/>
                <w:sz w:val="17"/>
              </w:rPr>
              <w:t>Product area</w:t>
            </w:r>
          </w:p>
        </w:tc>
        <w:tc>
          <w:tcPr>
            <w:tcW w:type="dxa" w:w="5083"/>
            <w:shd w:fill="0B1728"/>
            <w:tcMar>
              <w:top w:w="100" w:type="dxa"/>
              <w:start w:w="120" w:type="dxa"/>
              <w:bottom w:w="100" w:type="dxa"/>
              <w:end w:w="120" w:type="dxa"/>
            </w:tcMar>
            <w:vAlign w:val="center"/>
          </w:tcPr>
          <w:p>
            <w:pPr>
              <w:jc w:val="left"/>
            </w:pPr>
            <w:r>
              <w:rPr>
                <w:b/>
                <w:color w:val="FFFFFF"/>
                <w:sz w:val="17"/>
              </w:rPr>
              <w:t>Planned capability</w:t>
            </w:r>
          </w:p>
        </w:tc>
      </w:tr>
      <w:tr>
        <w:tc>
          <w:tcPr>
            <w:tcW w:type="dxa" w:w="5083"/>
            <w:tcMar>
              <w:top w:w="100" w:type="dxa"/>
              <w:start w:w="120" w:type="dxa"/>
              <w:bottom w:w="100" w:type="dxa"/>
              <w:end w:w="120" w:type="dxa"/>
            </w:tcMar>
            <w:vAlign w:val="center"/>
          </w:tcPr>
          <w:p>
            <w:r>
              <w:rPr>
                <w:sz w:val="16"/>
              </w:rPr>
              <w:t>Accounts</w:t>
            </w:r>
          </w:p>
        </w:tc>
        <w:tc>
          <w:tcPr>
            <w:tcW w:type="dxa" w:w="5083"/>
            <w:tcMar>
              <w:top w:w="100" w:type="dxa"/>
              <w:start w:w="120" w:type="dxa"/>
              <w:bottom w:w="100" w:type="dxa"/>
              <w:end w:w="120" w:type="dxa"/>
            </w:tcMar>
            <w:vAlign w:val="center"/>
          </w:tcPr>
          <w:p>
            <w:r>
              <w:rPr>
                <w:sz w:val="16"/>
              </w:rPr>
              <w:t>Registration, authentication, account security, eligibility controls, and support workflows</w:t>
            </w:r>
          </w:p>
        </w:tc>
      </w:tr>
      <w:tr>
        <w:tc>
          <w:tcPr>
            <w:tcW w:type="dxa" w:w="5083"/>
            <w:tcMar>
              <w:top w:w="100" w:type="dxa"/>
              <w:start w:w="120" w:type="dxa"/>
              <w:bottom w:w="100" w:type="dxa"/>
              <w:end w:w="120" w:type="dxa"/>
            </w:tcMar>
            <w:shd w:fill="F5F7FA"/>
            <w:vAlign w:val="center"/>
          </w:tcPr>
          <w:p>
            <w:r>
              <w:rPr>
                <w:sz w:val="16"/>
              </w:rPr>
              <w:t>Wallet infrastructure</w:t>
            </w:r>
          </w:p>
        </w:tc>
        <w:tc>
          <w:tcPr>
            <w:tcW w:type="dxa" w:w="5083"/>
            <w:tcMar>
              <w:top w:w="100" w:type="dxa"/>
              <w:start w:w="120" w:type="dxa"/>
              <w:bottom w:w="100" w:type="dxa"/>
              <w:end w:w="120" w:type="dxa"/>
            </w:tcMar>
            <w:shd w:fill="F5F7FA"/>
            <w:vAlign w:val="center"/>
          </w:tcPr>
          <w:p>
            <w:r>
              <w:rPr>
                <w:sz w:val="16"/>
              </w:rPr>
              <w:t>Deposits, confirmations, balances, withdrawals, monitoring, hot/cold wallet controls</w:t>
            </w:r>
          </w:p>
        </w:tc>
      </w:tr>
      <w:tr>
        <w:tc>
          <w:tcPr>
            <w:tcW w:type="dxa" w:w="5083"/>
            <w:tcMar>
              <w:top w:w="100" w:type="dxa"/>
              <w:start w:w="120" w:type="dxa"/>
              <w:bottom w:w="100" w:type="dxa"/>
              <w:end w:w="120" w:type="dxa"/>
            </w:tcMar>
            <w:vAlign w:val="center"/>
          </w:tcPr>
          <w:p>
            <w:r>
              <w:rPr>
                <w:sz w:val="16"/>
              </w:rPr>
              <w:t>Spot markets</w:t>
            </w:r>
          </w:p>
        </w:tc>
        <w:tc>
          <w:tcPr>
            <w:tcW w:type="dxa" w:w="5083"/>
            <w:tcMar>
              <w:top w:w="100" w:type="dxa"/>
              <w:start w:w="120" w:type="dxa"/>
              <w:bottom w:w="100" w:type="dxa"/>
              <w:end w:w="120" w:type="dxa"/>
            </w:tcMar>
            <w:vAlign w:val="center"/>
          </w:tcPr>
          <w:p>
            <w:r>
              <w:rPr>
                <w:sz w:val="16"/>
              </w:rPr>
              <w:t>Order placement, matching, order books, trades, fees, and market information</w:t>
            </w:r>
          </w:p>
        </w:tc>
      </w:tr>
      <w:tr>
        <w:tc>
          <w:tcPr>
            <w:tcW w:type="dxa" w:w="5083"/>
            <w:tcMar>
              <w:top w:w="100" w:type="dxa"/>
              <w:start w:w="120" w:type="dxa"/>
              <w:bottom w:w="100" w:type="dxa"/>
              <w:end w:w="120" w:type="dxa"/>
            </w:tcMar>
            <w:shd w:fill="F5F7FA"/>
            <w:vAlign w:val="center"/>
          </w:tcPr>
          <w:p>
            <w:r>
              <w:rPr>
                <w:sz w:val="16"/>
              </w:rPr>
              <w:t>PoW asset support</w:t>
            </w:r>
          </w:p>
        </w:tc>
        <w:tc>
          <w:tcPr>
            <w:tcW w:type="dxa" w:w="5083"/>
            <w:tcMar>
              <w:top w:w="100" w:type="dxa"/>
              <w:start w:w="120" w:type="dxa"/>
              <w:bottom w:w="100" w:type="dxa"/>
              <w:end w:w="120" w:type="dxa"/>
            </w:tcMar>
            <w:shd w:fill="F5F7FA"/>
            <w:vAlign w:val="center"/>
          </w:tcPr>
          <w:p>
            <w:r>
              <w:rPr>
                <w:sz w:val="16"/>
              </w:rPr>
              <w:t>Integration processes for nodes, wallets, confirmations, maintenance, and risk monitoring</w:t>
            </w:r>
          </w:p>
        </w:tc>
      </w:tr>
      <w:tr>
        <w:tc>
          <w:tcPr>
            <w:tcW w:type="dxa" w:w="5083"/>
            <w:tcMar>
              <w:top w:w="100" w:type="dxa"/>
              <w:start w:w="120" w:type="dxa"/>
              <w:bottom w:w="100" w:type="dxa"/>
              <w:end w:w="120" w:type="dxa"/>
            </w:tcMar>
            <w:vAlign w:val="center"/>
          </w:tcPr>
          <w:p>
            <w:r>
              <w:rPr>
                <w:sz w:val="16"/>
              </w:rPr>
              <w:t>APIs</w:t>
            </w:r>
          </w:p>
        </w:tc>
        <w:tc>
          <w:tcPr>
            <w:tcW w:type="dxa" w:w="5083"/>
            <w:tcMar>
              <w:top w:w="100" w:type="dxa"/>
              <w:start w:w="120" w:type="dxa"/>
              <w:bottom w:w="100" w:type="dxa"/>
              <w:end w:w="120" w:type="dxa"/>
            </w:tcMar>
            <w:vAlign w:val="center"/>
          </w:tcPr>
          <w:p>
            <w:r>
              <w:rPr>
                <w:sz w:val="16"/>
              </w:rPr>
              <w:t>Public market data, authenticated trading, account, wallet, and operational integrations</w:t>
            </w:r>
          </w:p>
        </w:tc>
      </w:tr>
      <w:tr>
        <w:tc>
          <w:tcPr>
            <w:tcW w:type="dxa" w:w="5083"/>
            <w:tcMar>
              <w:top w:w="100" w:type="dxa"/>
              <w:start w:w="120" w:type="dxa"/>
              <w:bottom w:w="100" w:type="dxa"/>
              <w:end w:w="120" w:type="dxa"/>
            </w:tcMar>
            <w:shd w:fill="F5F7FA"/>
            <w:vAlign w:val="center"/>
          </w:tcPr>
          <w:p>
            <w:r>
              <w:rPr>
                <w:sz w:val="16"/>
              </w:rPr>
              <w:t>Security</w:t>
            </w:r>
          </w:p>
        </w:tc>
        <w:tc>
          <w:tcPr>
            <w:tcW w:type="dxa" w:w="5083"/>
            <w:tcMar>
              <w:top w:w="100" w:type="dxa"/>
              <w:start w:w="120" w:type="dxa"/>
              <w:bottom w:w="100" w:type="dxa"/>
              <w:end w:w="120" w:type="dxa"/>
            </w:tcMar>
            <w:shd w:fill="F5F7FA"/>
            <w:vAlign w:val="center"/>
          </w:tcPr>
          <w:p>
            <w:r>
              <w:rPr>
                <w:sz w:val="16"/>
              </w:rPr>
              <w:t>2FA, withdrawal controls, monitoring, incident response, key management, and audits</w:t>
            </w:r>
          </w:p>
        </w:tc>
      </w:tr>
    </w:tbl>
    <w:p>
      <w:pPr>
        <w:spacing w:after="20"/>
      </w:pPr>
    </w:p>
    <w:p>
      <w:pPr>
        <w:pStyle w:val="Heading2"/>
      </w:pPr>
      <w:r>
        <w:t>10.1 Network-first exchange sequencing</w:t>
      </w:r>
    </w:p>
    <w:p>
      <w:r>
        <w:t>Launching KPOW Network before KpowBIT Exchange reduces integration ambiguity for native deposits and withdrawals. The exchange can still provide the operational account, wallet, market, support, and monitoring foundation required by the later rental marketplace.</w:t>
      </w:r>
    </w:p>
    <w:p>
      <w:pPr>
        <w:pStyle w:val="Heading2"/>
      </w:pPr>
      <w:r>
        <w:t>10.2 KPOW market access</w:t>
      </w:r>
    </w:p>
    <w:p>
      <w:r>
        <w:t>KpowBIT Exchange may provide a market for KPOW after chain, wallet, custody, legal, liquidity, and operational requirements are satisfied. Listing timing, pairs, market-making arrangements, and withdrawal availability must be announced separately.</w:t>
      </w:r>
    </w:p>
    <w:p>
      <w:pPr>
        <w:pStyle w:val="Heading2"/>
      </w:pPr>
      <w:r>
        <w:t>10.3 Proof-of-Work market focus</w:t>
      </w:r>
    </w:p>
    <w:p>
      <w:r>
        <w:t>The exchange is intended to support established and emerging Proof-of-Work communities with transparent wallet status, chain monitoring, maintenance communication, and market operations.</w:t>
      </w:r>
    </w:p>
    <w:p>
      <w:r>
        <w:br w:type="page"/>
      </w:r>
    </w:p>
    <w:p>
      <w:pPr>
        <w:pStyle w:val="Heading1"/>
      </w:pPr>
      <w:r>
        <w:t>11. Mining Rental Platform</w:t>
      </w:r>
    </w:p>
    <w:p>
      <w:pPr>
        <w:jc w:val="left"/>
      </w:pPr>
      <w:r>
        <w:rPr>
          <w:b/>
          <w:color w:val="5A6778"/>
          <w:sz w:val="22"/>
        </w:rPr>
        <w:t>Planned two-sided marketplace targeted for Q2 2027</w:t>
      </w:r>
    </w:p>
    <w:p>
      <w:r>
        <w:t>The Mining Rental Platform is planned as a marketplace connecting renters who need mining capacity with providers operating eligible GPU or ASIC infrastructure. The target is approximately Q2 2027, subject to engineering, provider readiness, security review, and regulatory assessment.</w:t>
      </w:r>
    </w:p>
    <w:tbl>
      <w:tblPr>
        <w:tblStyle w:val="TableGrid"/>
        <w:tblW w:type="auto" w:w="0"/>
        <w:jc w:val="center"/>
        <w:tblLook w:firstColumn="1" w:firstRow="1" w:lastColumn="0" w:lastRow="0" w:noHBand="0" w:noVBand="1" w:val="04A0"/>
      </w:tblPr>
      <w:tblGrid>
        <w:gridCol w:w="5083"/>
        <w:gridCol w:w="5083"/>
      </w:tblGrid>
      <w:tr>
        <w:trPr>
          <w:tblHeader w:val="true"/>
        </w:trPr>
        <w:tc>
          <w:tcPr>
            <w:tcW w:type="dxa" w:w="5083"/>
            <w:shd w:fill="0B1728"/>
            <w:tcMar>
              <w:top w:w="100" w:type="dxa"/>
              <w:start w:w="120" w:type="dxa"/>
              <w:bottom w:w="100" w:type="dxa"/>
              <w:end w:w="120" w:type="dxa"/>
            </w:tcMar>
            <w:vAlign w:val="center"/>
          </w:tcPr>
          <w:p>
            <w:pPr>
              <w:jc w:val="left"/>
            </w:pPr>
            <w:r>
              <w:rPr>
                <w:b/>
                <w:color w:val="FFFFFF"/>
                <w:sz w:val="17"/>
              </w:rPr>
              <w:t>Renter workflow</w:t>
            </w:r>
          </w:p>
        </w:tc>
        <w:tc>
          <w:tcPr>
            <w:tcW w:type="dxa" w:w="5083"/>
            <w:shd w:fill="0B1728"/>
            <w:tcMar>
              <w:top w:w="100" w:type="dxa"/>
              <w:start w:w="120" w:type="dxa"/>
              <w:bottom w:w="100" w:type="dxa"/>
              <w:end w:w="120" w:type="dxa"/>
            </w:tcMar>
            <w:vAlign w:val="center"/>
          </w:tcPr>
          <w:p>
            <w:pPr>
              <w:jc w:val="left"/>
            </w:pPr>
            <w:r>
              <w:rPr>
                <w:b/>
                <w:color w:val="FFFFFF"/>
                <w:sz w:val="17"/>
              </w:rPr>
              <w:t>Provider workflow</w:t>
            </w:r>
          </w:p>
        </w:tc>
      </w:tr>
      <w:tr>
        <w:tc>
          <w:tcPr>
            <w:tcW w:type="dxa" w:w="5083"/>
            <w:tcMar>
              <w:top w:w="100" w:type="dxa"/>
              <w:start w:w="120" w:type="dxa"/>
              <w:bottom w:w="100" w:type="dxa"/>
              <w:end w:w="120" w:type="dxa"/>
            </w:tcMar>
            <w:vAlign w:val="center"/>
          </w:tcPr>
          <w:p>
            <w:r>
              <w:rPr>
                <w:sz w:val="16"/>
              </w:rPr>
              <w:t>Create and fund an eligible account</w:t>
            </w:r>
          </w:p>
        </w:tc>
        <w:tc>
          <w:tcPr>
            <w:tcW w:type="dxa" w:w="5083"/>
            <w:tcMar>
              <w:top w:w="100" w:type="dxa"/>
              <w:start w:w="120" w:type="dxa"/>
              <w:bottom w:w="100" w:type="dxa"/>
              <w:end w:w="120" w:type="dxa"/>
            </w:tcMar>
            <w:vAlign w:val="center"/>
          </w:tcPr>
          <w:p>
            <w:r>
              <w:rPr>
                <w:sz w:val="16"/>
              </w:rPr>
              <w:t>Apply and complete provider verification</w:t>
            </w:r>
          </w:p>
        </w:tc>
      </w:tr>
      <w:tr>
        <w:tc>
          <w:tcPr>
            <w:tcW w:type="dxa" w:w="5083"/>
            <w:tcMar>
              <w:top w:w="100" w:type="dxa"/>
              <w:start w:w="120" w:type="dxa"/>
              <w:bottom w:w="100" w:type="dxa"/>
              <w:end w:w="120" w:type="dxa"/>
            </w:tcMar>
            <w:shd w:fill="F5F7FA"/>
            <w:vAlign w:val="center"/>
          </w:tcPr>
          <w:p>
            <w:r>
              <w:rPr>
                <w:sz w:val="16"/>
              </w:rPr>
              <w:t>Select coin, algorithm, pool, or mining package</w:t>
            </w:r>
          </w:p>
        </w:tc>
        <w:tc>
          <w:tcPr>
            <w:tcW w:type="dxa" w:w="5083"/>
            <w:tcMar>
              <w:top w:w="100" w:type="dxa"/>
              <w:start w:w="120" w:type="dxa"/>
              <w:bottom w:w="100" w:type="dxa"/>
              <w:end w:w="120" w:type="dxa"/>
            </w:tcMar>
            <w:shd w:fill="F5F7FA"/>
            <w:vAlign w:val="center"/>
          </w:tcPr>
          <w:p>
            <w:r>
              <w:rPr>
                <w:sz w:val="16"/>
              </w:rPr>
              <w:t>Connect and register eligible hardware</w:t>
            </w:r>
          </w:p>
        </w:tc>
      </w:tr>
      <w:tr>
        <w:tc>
          <w:tcPr>
            <w:tcW w:type="dxa" w:w="5083"/>
            <w:tcMar>
              <w:top w:w="100" w:type="dxa"/>
              <w:start w:w="120" w:type="dxa"/>
              <w:bottom w:w="100" w:type="dxa"/>
              <w:end w:w="120" w:type="dxa"/>
            </w:tcMar>
            <w:vAlign w:val="center"/>
          </w:tcPr>
          <w:p>
            <w:r>
              <w:rPr>
                <w:sz w:val="16"/>
              </w:rPr>
              <w:t>Compare hardware, hashrate, price, duration, uptime, and rating</w:t>
            </w:r>
          </w:p>
        </w:tc>
        <w:tc>
          <w:tcPr>
            <w:tcW w:type="dxa" w:w="5083"/>
            <w:tcMar>
              <w:top w:w="100" w:type="dxa"/>
              <w:start w:w="120" w:type="dxa"/>
              <w:bottom w:w="100" w:type="dxa"/>
              <w:end w:w="120" w:type="dxa"/>
            </w:tcMar>
            <w:vAlign w:val="center"/>
          </w:tcPr>
          <w:p>
            <w:r>
              <w:rPr>
                <w:sz w:val="16"/>
              </w:rPr>
              <w:t>Benchmark hardware and verify identity / stability</w:t>
            </w:r>
          </w:p>
        </w:tc>
      </w:tr>
      <w:tr>
        <w:tc>
          <w:tcPr>
            <w:tcW w:type="dxa" w:w="5083"/>
            <w:tcMar>
              <w:top w:w="100" w:type="dxa"/>
              <w:start w:w="120" w:type="dxa"/>
              <w:bottom w:w="100" w:type="dxa"/>
              <w:end w:w="120" w:type="dxa"/>
            </w:tcMar>
            <w:shd w:fill="F5F7FA"/>
            <w:vAlign w:val="center"/>
          </w:tcPr>
          <w:p>
            <w:r>
              <w:rPr>
                <w:sz w:val="16"/>
              </w:rPr>
              <w:t>Accept terms and start a rental</w:t>
            </w:r>
          </w:p>
        </w:tc>
        <w:tc>
          <w:tcPr>
            <w:tcW w:type="dxa" w:w="5083"/>
            <w:tcMar>
              <w:top w:w="100" w:type="dxa"/>
              <w:start w:w="120" w:type="dxa"/>
              <w:bottom w:w="100" w:type="dxa"/>
              <w:end w:w="120" w:type="dxa"/>
            </w:tcMar>
            <w:shd w:fill="F5F7FA"/>
            <w:vAlign w:val="center"/>
          </w:tcPr>
          <w:p>
            <w:r>
              <w:rPr>
                <w:sz w:val="16"/>
              </w:rPr>
              <w:t>Publish capacity, price, duration, and maintenance windows</w:t>
            </w:r>
          </w:p>
        </w:tc>
      </w:tr>
      <w:tr>
        <w:tc>
          <w:tcPr>
            <w:tcW w:type="dxa" w:w="5083"/>
            <w:tcMar>
              <w:top w:w="100" w:type="dxa"/>
              <w:start w:w="120" w:type="dxa"/>
              <w:bottom w:w="100" w:type="dxa"/>
              <w:end w:w="120" w:type="dxa"/>
            </w:tcMar>
            <w:vAlign w:val="center"/>
          </w:tcPr>
          <w:p>
            <w:r>
              <w:rPr>
                <w:sz w:val="16"/>
              </w:rPr>
              <w:t>Monitor hashrate, shares, uptime, and contract time</w:t>
            </w:r>
          </w:p>
        </w:tc>
        <w:tc>
          <w:tcPr>
            <w:tcW w:type="dxa" w:w="5083"/>
            <w:tcMar>
              <w:top w:w="100" w:type="dxa"/>
              <w:start w:w="120" w:type="dxa"/>
              <w:bottom w:w="100" w:type="dxa"/>
              <w:end w:w="120" w:type="dxa"/>
            </w:tcMar>
            <w:vAlign w:val="center"/>
          </w:tcPr>
          <w:p>
            <w:r>
              <w:rPr>
                <w:sz w:val="16"/>
              </w:rPr>
              <w:t>Deliver measurable service under platform telemetry</w:t>
            </w:r>
          </w:p>
        </w:tc>
      </w:tr>
      <w:tr>
        <w:tc>
          <w:tcPr>
            <w:tcW w:type="dxa" w:w="5083"/>
            <w:tcMar>
              <w:top w:w="100" w:type="dxa"/>
              <w:start w:w="120" w:type="dxa"/>
              <w:bottom w:w="100" w:type="dxa"/>
              <w:end w:w="120" w:type="dxa"/>
            </w:tcMar>
            <w:shd w:fill="F5F7FA"/>
            <w:vAlign w:val="center"/>
          </w:tcPr>
          <w:p>
            <w:r>
              <w:rPr>
                <w:sz w:val="16"/>
              </w:rPr>
              <w:t>Complete, extend, or dispute under published rules</w:t>
            </w:r>
          </w:p>
        </w:tc>
        <w:tc>
          <w:tcPr>
            <w:tcW w:type="dxa" w:w="5083"/>
            <w:tcMar>
              <w:top w:w="100" w:type="dxa"/>
              <w:start w:w="120" w:type="dxa"/>
              <w:bottom w:w="100" w:type="dxa"/>
              <w:end w:w="120" w:type="dxa"/>
            </w:tcMar>
            <w:shd w:fill="F5F7FA"/>
            <w:vAlign w:val="center"/>
          </w:tcPr>
          <w:p>
            <w:r>
              <w:rPr>
                <w:sz w:val="16"/>
              </w:rPr>
              <w:t>Receive eligible settlement after verification and dispute window</w:t>
            </w:r>
          </w:p>
        </w:tc>
      </w:tr>
    </w:tbl>
    <w:p>
      <w:pPr>
        <w:spacing w:after="20"/>
      </w:pPr>
    </w:p>
    <w:p>
      <w:pPr>
        <w:pStyle w:val="Heading2"/>
      </w:pPr>
      <w:r>
        <w:t>11.1 Marketplace listing data</w:t>
      </w:r>
    </w:p>
    <w:p>
      <w:pPr>
        <w:pStyle w:val="ListBullet"/>
        <w:ind w:left="317" w:hanging="202"/>
      </w:pPr>
      <w:r>
        <w:t>Hardware model and quantity</w:t>
      </w:r>
    </w:p>
    <w:p>
      <w:pPr>
        <w:pStyle w:val="ListBullet"/>
        <w:ind w:left="317" w:hanging="202"/>
      </w:pPr>
      <w:r>
        <w:t>Supported algorithm and software profile</w:t>
      </w:r>
    </w:p>
    <w:p>
      <w:pPr>
        <w:pStyle w:val="ListBullet"/>
        <w:ind w:left="317" w:hanging="202"/>
      </w:pPr>
      <w:r>
        <w:t>Advertised and observed hashrate</w:t>
      </w:r>
    </w:p>
    <w:p>
      <w:pPr>
        <w:pStyle w:val="ListBullet"/>
        <w:ind w:left="317" w:hanging="202"/>
      </w:pPr>
      <w:r>
        <w:t>Price, billing unit, minimum duration, and fees</w:t>
      </w:r>
    </w:p>
    <w:p>
      <w:pPr>
        <w:pStyle w:val="ListBullet"/>
        <w:ind w:left="317" w:hanging="202"/>
      </w:pPr>
      <w:r>
        <w:t>Region, connectivity, latency, and availability</w:t>
      </w:r>
    </w:p>
    <w:p>
      <w:pPr>
        <w:pStyle w:val="ListBullet"/>
        <w:ind w:left="317" w:hanging="202"/>
      </w:pPr>
      <w:r>
        <w:t>Provider uptime, completed contracts, cancellations, disputes, and rating</w:t>
      </w:r>
    </w:p>
    <w:p>
      <w:pPr>
        <w:pStyle w:val="ListBullet"/>
        <w:ind w:left="317" w:hanging="202"/>
      </w:pPr>
      <w:r>
        <w:t>Collateral, refund, failure, maintenance, and dispute terms</w:t>
      </w:r>
    </w:p>
    <w:p>
      <w:pPr>
        <w:pStyle w:val="Heading2"/>
      </w:pPr>
      <w:r>
        <w:t>11.2 Delivery verification</w:t>
      </w:r>
    </w:p>
    <w:p>
      <w:r>
        <w:t>Provider payment should depend on measured delivery. Verification may combine platform telemetry, pool-side data, accepted shares, session logs, hardware identity, uptime, and contract records. Self-rental, circular payment, false benchmarks, hardware substitution, and manipulated uptime should be monitored and penalized under published rules.</w:t>
      </w:r>
    </w:p>
    <w:p>
      <w:pPr>
        <w:pStyle w:val="Heading2"/>
      </w:pPr>
      <w:r>
        <w:t>11.3 Profitability disclosure</w:t>
      </w:r>
    </w:p>
    <w:p>
      <w:r>
        <w:t>Mining output and financial performance depend on asset price, network difficulty, pool conditions, fees, electricity economics, hardware efficiency, downtime, and market conditions. Estimates are not guarantees, and the platform should not advertise fixed or risk-free returns.</w:t>
      </w:r>
    </w:p>
    <w:p>
      <w:r>
        <w:br w:type="page"/>
      </w:r>
    </w:p>
    <w:p>
      <w:pPr>
        <w:pStyle w:val="Heading1"/>
      </w:pPr>
      <w:r>
        <w:t>12. KPOW Utility</w:t>
      </w:r>
    </w:p>
    <w:p>
      <w:pPr>
        <w:jc w:val="left"/>
      </w:pPr>
      <w:r>
        <w:rPr>
          <w:b/>
          <w:color w:val="5A6778"/>
          <w:sz w:val="22"/>
        </w:rPr>
        <w:t>Native functions across protocol and product layers</w:t>
      </w:r>
    </w:p>
    <w:tbl>
      <w:tblPr>
        <w:tblStyle w:val="TableGrid"/>
        <w:tblW w:type="auto" w:w="0"/>
        <w:jc w:val="center"/>
        <w:tblLook w:firstColumn="1" w:firstRow="1" w:lastColumn="0" w:lastRow="0" w:noHBand="0" w:noVBand="1" w:val="04A0"/>
      </w:tblPr>
      <w:tblGrid>
        <w:gridCol w:w="5083"/>
        <w:gridCol w:w="5083"/>
      </w:tblGrid>
      <w:tr>
        <w:trPr>
          <w:tblHeader w:val="true"/>
        </w:trPr>
        <w:tc>
          <w:tcPr>
            <w:tcW w:type="dxa" w:w="5083"/>
            <w:shd w:fill="0B1728"/>
            <w:tcMar>
              <w:top w:w="100" w:type="dxa"/>
              <w:start w:w="120" w:type="dxa"/>
              <w:bottom w:w="100" w:type="dxa"/>
              <w:end w:w="120" w:type="dxa"/>
            </w:tcMar>
            <w:vAlign w:val="center"/>
          </w:tcPr>
          <w:p>
            <w:pPr>
              <w:jc w:val="left"/>
            </w:pPr>
            <w:r>
              <w:rPr>
                <w:b/>
                <w:color w:val="FFFFFF"/>
                <w:sz w:val="17"/>
              </w:rPr>
              <w:t>Layer</w:t>
            </w:r>
          </w:p>
        </w:tc>
        <w:tc>
          <w:tcPr>
            <w:tcW w:type="dxa" w:w="5083"/>
            <w:shd w:fill="0B1728"/>
            <w:tcMar>
              <w:top w:w="100" w:type="dxa"/>
              <w:start w:w="120" w:type="dxa"/>
              <w:bottom w:w="100" w:type="dxa"/>
              <w:end w:w="120" w:type="dxa"/>
            </w:tcMar>
            <w:vAlign w:val="center"/>
          </w:tcPr>
          <w:p>
            <w:pPr>
              <w:jc w:val="left"/>
            </w:pPr>
            <w:r>
              <w:rPr>
                <w:b/>
                <w:color w:val="FFFFFF"/>
                <w:sz w:val="17"/>
              </w:rPr>
              <w:t>Potential KPOW utility</w:t>
            </w:r>
          </w:p>
        </w:tc>
      </w:tr>
      <w:tr>
        <w:tc>
          <w:tcPr>
            <w:tcW w:type="dxa" w:w="5083"/>
            <w:tcMar>
              <w:top w:w="100" w:type="dxa"/>
              <w:start w:w="120" w:type="dxa"/>
              <w:bottom w:w="100" w:type="dxa"/>
              <w:end w:w="120" w:type="dxa"/>
            </w:tcMar>
            <w:vAlign w:val="center"/>
          </w:tcPr>
          <w:p>
            <w:r>
              <w:rPr>
                <w:sz w:val="16"/>
              </w:rPr>
              <w:t>KPOW Chain</w:t>
            </w:r>
          </w:p>
        </w:tc>
        <w:tc>
          <w:tcPr>
            <w:tcW w:type="dxa" w:w="5083"/>
            <w:tcMar>
              <w:top w:w="100" w:type="dxa"/>
              <w:start w:w="120" w:type="dxa"/>
              <w:bottom w:w="100" w:type="dxa"/>
              <w:end w:w="120" w:type="dxa"/>
            </w:tcMar>
            <w:vAlign w:val="center"/>
          </w:tcPr>
          <w:p>
            <w:r>
              <w:rPr>
                <w:sz w:val="16"/>
              </w:rPr>
              <w:t>Gas fees, smart-contract deployment, asset settlement, and miner compensation</w:t>
            </w:r>
          </w:p>
        </w:tc>
      </w:tr>
      <w:tr>
        <w:tc>
          <w:tcPr>
            <w:tcW w:type="dxa" w:w="5083"/>
            <w:tcMar>
              <w:top w:w="100" w:type="dxa"/>
              <w:start w:w="120" w:type="dxa"/>
              <w:bottom w:w="100" w:type="dxa"/>
              <w:end w:w="120" w:type="dxa"/>
            </w:tcMar>
            <w:shd w:fill="F5F7FA"/>
            <w:vAlign w:val="center"/>
          </w:tcPr>
          <w:p>
            <w:r>
              <w:rPr>
                <w:sz w:val="16"/>
              </w:rPr>
              <w:t>Mining</w:t>
            </w:r>
          </w:p>
        </w:tc>
        <w:tc>
          <w:tcPr>
            <w:tcW w:type="dxa" w:w="5083"/>
            <w:tcMar>
              <w:top w:w="100" w:type="dxa"/>
              <w:start w:w="120" w:type="dxa"/>
              <w:bottom w:w="100" w:type="dxa"/>
              <w:end w:w="120" w:type="dxa"/>
            </w:tcMar>
            <w:shd w:fill="F5F7FA"/>
            <w:vAlign w:val="center"/>
          </w:tcPr>
          <w:p>
            <w:r>
              <w:rPr>
                <w:sz w:val="16"/>
              </w:rPr>
              <w:t>Block rewards and transaction-fee revenue</w:t>
            </w:r>
          </w:p>
        </w:tc>
      </w:tr>
      <w:tr>
        <w:tc>
          <w:tcPr>
            <w:tcW w:type="dxa" w:w="5083"/>
            <w:tcMar>
              <w:top w:w="100" w:type="dxa"/>
              <w:start w:w="120" w:type="dxa"/>
              <w:bottom w:w="100" w:type="dxa"/>
              <w:end w:w="120" w:type="dxa"/>
            </w:tcMar>
            <w:vAlign w:val="center"/>
          </w:tcPr>
          <w:p>
            <w:r>
              <w:rPr>
                <w:sz w:val="16"/>
              </w:rPr>
              <w:t>KpowBIT Exchange</w:t>
            </w:r>
          </w:p>
        </w:tc>
        <w:tc>
          <w:tcPr>
            <w:tcW w:type="dxa" w:w="5083"/>
            <w:tcMar>
              <w:top w:w="100" w:type="dxa"/>
              <w:start w:w="120" w:type="dxa"/>
              <w:bottom w:w="100" w:type="dxa"/>
              <w:end w:w="120" w:type="dxa"/>
            </w:tcMar>
            <w:vAlign w:val="center"/>
          </w:tcPr>
          <w:p>
            <w:r>
              <w:rPr>
                <w:sz w:val="16"/>
              </w:rPr>
              <w:t>Potential trading-fee discounts, campaign rewards, VIP access, or supported market functions</w:t>
            </w:r>
          </w:p>
        </w:tc>
      </w:tr>
      <w:tr>
        <w:tc>
          <w:tcPr>
            <w:tcW w:type="dxa" w:w="5083"/>
            <w:tcMar>
              <w:top w:w="100" w:type="dxa"/>
              <w:start w:w="120" w:type="dxa"/>
              <w:bottom w:w="100" w:type="dxa"/>
              <w:end w:w="120" w:type="dxa"/>
            </w:tcMar>
            <w:shd w:fill="F5F7FA"/>
            <w:vAlign w:val="center"/>
          </w:tcPr>
          <w:p>
            <w:r>
              <w:rPr>
                <w:sz w:val="16"/>
              </w:rPr>
              <w:t>Mining Rental</w:t>
            </w:r>
          </w:p>
        </w:tc>
        <w:tc>
          <w:tcPr>
            <w:tcW w:type="dxa" w:w="5083"/>
            <w:tcMar>
              <w:top w:w="100" w:type="dxa"/>
              <w:start w:w="120" w:type="dxa"/>
              <w:bottom w:w="100" w:type="dxa"/>
              <w:end w:w="120" w:type="dxa"/>
            </w:tcMar>
            <w:shd w:fill="F5F7FA"/>
            <w:vAlign w:val="center"/>
          </w:tcPr>
          <w:p>
            <w:r>
              <w:rPr>
                <w:sz w:val="16"/>
              </w:rPr>
              <w:t>Potential service discounts, provider collateral, settlement, reputation bonds, or ecosystem incentives</w:t>
            </w:r>
          </w:p>
        </w:tc>
      </w:tr>
      <w:tr>
        <w:tc>
          <w:tcPr>
            <w:tcW w:type="dxa" w:w="5083"/>
            <w:tcMar>
              <w:top w:w="100" w:type="dxa"/>
              <w:start w:w="120" w:type="dxa"/>
              <w:bottom w:w="100" w:type="dxa"/>
              <w:end w:w="120" w:type="dxa"/>
            </w:tcMar>
            <w:vAlign w:val="center"/>
          </w:tcPr>
          <w:p>
            <w:r>
              <w:rPr>
                <w:sz w:val="16"/>
              </w:rPr>
              <w:t>Community</w:t>
            </w:r>
          </w:p>
        </w:tc>
        <w:tc>
          <w:tcPr>
            <w:tcW w:type="dxa" w:w="5083"/>
            <w:tcMar>
              <w:top w:w="100" w:type="dxa"/>
              <w:start w:w="120" w:type="dxa"/>
              <w:bottom w:w="100" w:type="dxa"/>
              <w:end w:w="120" w:type="dxa"/>
            </w:tcMar>
            <w:vAlign w:val="center"/>
          </w:tcPr>
          <w:p>
            <w:r>
              <w:rPr>
                <w:sz w:val="16"/>
              </w:rPr>
              <w:t>Airdrops, grants, contributor programs, and future governance participation</w:t>
            </w:r>
          </w:p>
        </w:tc>
      </w:tr>
      <w:tr>
        <w:tc>
          <w:tcPr>
            <w:tcW w:type="dxa" w:w="5083"/>
            <w:tcMar>
              <w:top w:w="100" w:type="dxa"/>
              <w:start w:w="120" w:type="dxa"/>
              <w:bottom w:w="100" w:type="dxa"/>
              <w:end w:w="120" w:type="dxa"/>
            </w:tcMar>
            <w:shd w:fill="F5F7FA"/>
            <w:vAlign w:val="center"/>
          </w:tcPr>
          <w:p>
            <w:r>
              <w:rPr>
                <w:sz w:val="16"/>
              </w:rPr>
              <w:t>Infrastructure</w:t>
            </w:r>
          </w:p>
        </w:tc>
        <w:tc>
          <w:tcPr>
            <w:tcW w:type="dxa" w:w="5083"/>
            <w:tcMar>
              <w:top w:w="100" w:type="dxa"/>
              <w:start w:w="120" w:type="dxa"/>
              <w:bottom w:w="100" w:type="dxa"/>
              <w:end w:w="120" w:type="dxa"/>
            </w:tcMar>
            <w:shd w:fill="F5F7FA"/>
            <w:vAlign w:val="center"/>
          </w:tcPr>
          <w:p>
            <w:r>
              <w:rPr>
                <w:sz w:val="16"/>
              </w:rPr>
              <w:t>Developer grants, node or pool programs, audits, integrations, and open tooling</w:t>
            </w:r>
          </w:p>
        </w:tc>
      </w:tr>
    </w:tbl>
    <w:p>
      <w:pPr>
        <w:spacing w:after="20"/>
      </w:pPr>
    </w:p>
    <w:p>
      <w:r>
        <w:t>Utility must be activated only when the corresponding product and control framework are ready. Token utility should not be described as guaranteed profit, interest, passive income, or a right to company revenue unless a legally reviewed structure explicitly provides such rights.</w:t>
      </w:r>
    </w:p>
    <w:tbl>
      <w:tblPr>
        <w:tblW w:type="auto" w:w="0"/>
        <w:jc w:val="center"/>
        <w:tblLook w:firstColumn="1" w:firstRow="1" w:lastColumn="0" w:lastRow="0" w:noHBand="0" w:noVBand="1" w:val="04A0"/>
      </w:tblPr>
      <w:tblGrid>
        <w:gridCol w:w="10166"/>
      </w:tblGrid>
      <w:tr>
        <w:tc>
          <w:tcPr>
            <w:tcW w:type="dxa" w:w="10166"/>
            <w:shd w:fill="FFF7D6"/>
            <w:tcMar>
              <w:top w:w="140" w:type="dxa"/>
              <w:start w:w="170" w:type="dxa"/>
              <w:bottom w:w="140" w:type="dxa"/>
              <w:end w:w="170" w:type="dxa"/>
            </w:tcMar>
          </w:tcPr>
          <w:p>
            <w:r>
              <w:rPr>
                <w:b/>
                <w:color w:val="C99916"/>
              </w:rPr>
              <w:t>Protocol and product separation</w:t>
              <w:br/>
            </w:r>
            <w:r>
              <w:t>KPOW Chain can remain a neutral settlement protocol while KpowBIT products apply account rules, fees, eligibility, collateral, support, and dispute procedures at the application layer.</w:t>
            </w:r>
          </w:p>
        </w:tc>
      </w:tr>
    </w:tbl>
    <w:p>
      <w:pPr>
        <w:spacing w:after="0"/>
      </w:pPr>
    </w:p>
    <w:p>
      <w:r>
        <w:br w:type="page"/>
      </w:r>
    </w:p>
    <w:p>
      <w:pPr>
        <w:pStyle w:val="Heading1"/>
      </w:pPr>
      <w:r>
        <w:t>13. Security and Risk Controls</w:t>
      </w:r>
    </w:p>
    <w:p>
      <w:pPr>
        <w:jc w:val="left"/>
      </w:pPr>
      <w:r>
        <w:rPr>
          <w:b/>
          <w:color w:val="5A6778"/>
          <w:sz w:val="22"/>
        </w:rPr>
        <w:t>Defense in depth across chain, exchange, presale, and rental services</w:t>
      </w:r>
    </w:p>
    <w:tbl>
      <w:tblPr>
        <w:tblStyle w:val="TableGrid"/>
        <w:tblW w:type="auto" w:w="0"/>
        <w:jc w:val="center"/>
        <w:tblLook w:firstColumn="1" w:firstRow="1" w:lastColumn="0" w:lastRow="0" w:noHBand="0" w:noVBand="1" w:val="04A0"/>
      </w:tblPr>
      <w:tblGrid>
        <w:gridCol w:w="5083"/>
        <w:gridCol w:w="5083"/>
      </w:tblGrid>
      <w:tr>
        <w:trPr>
          <w:tblHeader w:val="true"/>
        </w:trPr>
        <w:tc>
          <w:tcPr>
            <w:tcW w:type="dxa" w:w="5083"/>
            <w:shd w:fill="0B1728"/>
            <w:tcMar>
              <w:top w:w="100" w:type="dxa"/>
              <w:start w:w="120" w:type="dxa"/>
              <w:bottom w:w="100" w:type="dxa"/>
              <w:end w:w="120" w:type="dxa"/>
            </w:tcMar>
            <w:vAlign w:val="center"/>
          </w:tcPr>
          <w:p>
            <w:pPr>
              <w:jc w:val="left"/>
            </w:pPr>
            <w:r>
              <w:rPr>
                <w:b/>
                <w:color w:val="FFFFFF"/>
                <w:sz w:val="17"/>
              </w:rPr>
              <w:t>Area</w:t>
            </w:r>
          </w:p>
        </w:tc>
        <w:tc>
          <w:tcPr>
            <w:tcW w:type="dxa" w:w="5083"/>
            <w:shd w:fill="0B1728"/>
            <w:tcMar>
              <w:top w:w="100" w:type="dxa"/>
              <w:start w:w="120" w:type="dxa"/>
              <w:bottom w:w="100" w:type="dxa"/>
              <w:end w:w="120" w:type="dxa"/>
            </w:tcMar>
            <w:vAlign w:val="center"/>
          </w:tcPr>
          <w:p>
            <w:pPr>
              <w:jc w:val="left"/>
            </w:pPr>
            <w:r>
              <w:rPr>
                <w:b/>
                <w:color w:val="FFFFFF"/>
                <w:sz w:val="17"/>
              </w:rPr>
              <w:t>Primary controls</w:t>
            </w:r>
          </w:p>
        </w:tc>
      </w:tr>
      <w:tr>
        <w:tc>
          <w:tcPr>
            <w:tcW w:type="dxa" w:w="5083"/>
            <w:tcMar>
              <w:top w:w="100" w:type="dxa"/>
              <w:start w:w="120" w:type="dxa"/>
              <w:bottom w:w="100" w:type="dxa"/>
              <w:end w:w="120" w:type="dxa"/>
            </w:tcMar>
            <w:vAlign w:val="center"/>
          </w:tcPr>
          <w:p>
            <w:r>
              <w:rPr>
                <w:sz w:val="16"/>
              </w:rPr>
              <w:t>Consensus</w:t>
            </w:r>
          </w:p>
        </w:tc>
        <w:tc>
          <w:tcPr>
            <w:tcW w:type="dxa" w:w="5083"/>
            <w:tcMar>
              <w:top w:w="100" w:type="dxa"/>
              <w:start w:w="120" w:type="dxa"/>
              <w:bottom w:w="100" w:type="dxa"/>
              <w:end w:w="120" w:type="dxa"/>
            </w:tcMar>
            <w:vAlign w:val="center"/>
          </w:tcPr>
          <w:p>
            <w:r>
              <w:rPr>
                <w:sz w:val="16"/>
              </w:rPr>
              <w:t>Public testnet, deterministic validation, difficulty simulation, reorganization testing, client review</w:t>
            </w:r>
          </w:p>
        </w:tc>
      </w:tr>
      <w:tr>
        <w:tc>
          <w:tcPr>
            <w:tcW w:type="dxa" w:w="5083"/>
            <w:tcMar>
              <w:top w:w="100" w:type="dxa"/>
              <w:start w:w="120" w:type="dxa"/>
              <w:bottom w:w="100" w:type="dxa"/>
              <w:end w:w="120" w:type="dxa"/>
            </w:tcMar>
            <w:shd w:fill="F5F7FA"/>
            <w:vAlign w:val="center"/>
          </w:tcPr>
          <w:p>
            <w:r>
              <w:rPr>
                <w:sz w:val="16"/>
              </w:rPr>
              <w:t>Wallets and treasury</w:t>
            </w:r>
          </w:p>
        </w:tc>
        <w:tc>
          <w:tcPr>
            <w:tcW w:type="dxa" w:w="5083"/>
            <w:tcMar>
              <w:top w:w="100" w:type="dxa"/>
              <w:start w:w="120" w:type="dxa"/>
              <w:bottom w:w="100" w:type="dxa"/>
              <w:end w:w="120" w:type="dxa"/>
            </w:tcMar>
            <w:shd w:fill="F5F7FA"/>
            <w:vAlign w:val="center"/>
          </w:tcPr>
          <w:p>
            <w:r>
              <w:rPr>
                <w:sz w:val="16"/>
              </w:rPr>
              <w:t>Multi-signature control, cold storage, limited hot-wallet exposure, transaction monitoring, backup and recovery</w:t>
            </w:r>
          </w:p>
        </w:tc>
      </w:tr>
      <w:tr>
        <w:tc>
          <w:tcPr>
            <w:tcW w:type="dxa" w:w="5083"/>
            <w:tcMar>
              <w:top w:w="100" w:type="dxa"/>
              <w:start w:w="120" w:type="dxa"/>
              <w:bottom w:w="100" w:type="dxa"/>
              <w:end w:w="120" w:type="dxa"/>
            </w:tcMar>
            <w:vAlign w:val="center"/>
          </w:tcPr>
          <w:p>
            <w:r>
              <w:rPr>
                <w:sz w:val="16"/>
              </w:rPr>
              <w:t>Presale</w:t>
            </w:r>
          </w:p>
        </w:tc>
        <w:tc>
          <w:tcPr>
            <w:tcW w:type="dxa" w:w="5083"/>
            <w:tcMar>
              <w:top w:w="100" w:type="dxa"/>
              <w:start w:w="120" w:type="dxa"/>
              <w:bottom w:w="100" w:type="dxa"/>
              <w:end w:w="120" w:type="dxa"/>
            </w:tcMar>
            <w:vAlign w:val="center"/>
          </w:tcPr>
          <w:p>
            <w:r>
              <w:rPr>
                <w:sz w:val="16"/>
              </w:rPr>
              <w:t>Signed quotes, chain-specific verification, duplicate transaction prevention, allocation caps, disclosed treasury addresses</w:t>
            </w:r>
          </w:p>
        </w:tc>
      </w:tr>
      <w:tr>
        <w:tc>
          <w:tcPr>
            <w:tcW w:type="dxa" w:w="5083"/>
            <w:tcMar>
              <w:top w:w="100" w:type="dxa"/>
              <w:start w:w="120" w:type="dxa"/>
              <w:bottom w:w="100" w:type="dxa"/>
              <w:end w:w="120" w:type="dxa"/>
            </w:tcMar>
            <w:shd w:fill="F5F7FA"/>
            <w:vAlign w:val="center"/>
          </w:tcPr>
          <w:p>
            <w:r>
              <w:rPr>
                <w:sz w:val="16"/>
              </w:rPr>
              <w:t>Exchange</w:t>
            </w:r>
          </w:p>
        </w:tc>
        <w:tc>
          <w:tcPr>
            <w:tcW w:type="dxa" w:w="5083"/>
            <w:tcMar>
              <w:top w:w="100" w:type="dxa"/>
              <w:start w:w="120" w:type="dxa"/>
              <w:bottom w:w="100" w:type="dxa"/>
              <w:end w:w="120" w:type="dxa"/>
            </w:tcMar>
            <w:shd w:fill="F5F7FA"/>
            <w:vAlign w:val="center"/>
          </w:tcPr>
          <w:p>
            <w:r>
              <w:rPr>
                <w:sz w:val="16"/>
              </w:rPr>
              <w:t>2FA, withdrawal controls, key management, monitoring, rate limits, incident response, audit logs</w:t>
            </w:r>
          </w:p>
        </w:tc>
      </w:tr>
      <w:tr>
        <w:tc>
          <w:tcPr>
            <w:tcW w:type="dxa" w:w="5083"/>
            <w:tcMar>
              <w:top w:w="100" w:type="dxa"/>
              <w:start w:w="120" w:type="dxa"/>
              <w:bottom w:w="100" w:type="dxa"/>
              <w:end w:w="120" w:type="dxa"/>
            </w:tcMar>
            <w:vAlign w:val="center"/>
          </w:tcPr>
          <w:p>
            <w:r>
              <w:rPr>
                <w:sz w:val="16"/>
              </w:rPr>
              <w:t>Rental marketplace</w:t>
            </w:r>
          </w:p>
        </w:tc>
        <w:tc>
          <w:tcPr>
            <w:tcW w:type="dxa" w:w="5083"/>
            <w:tcMar>
              <w:top w:w="100" w:type="dxa"/>
              <w:start w:w="120" w:type="dxa"/>
              <w:bottom w:w="100" w:type="dxa"/>
              <w:end w:w="120" w:type="dxa"/>
            </w:tcMar>
            <w:vAlign w:val="center"/>
          </w:tcPr>
          <w:p>
            <w:r>
              <w:rPr>
                <w:sz w:val="16"/>
              </w:rPr>
              <w:t>Hardware verification, telemetry, collateral, reputation, dispute rules, anti-self-rental and anti-wash controls</w:t>
            </w:r>
          </w:p>
        </w:tc>
      </w:tr>
      <w:tr>
        <w:tc>
          <w:tcPr>
            <w:tcW w:type="dxa" w:w="5083"/>
            <w:tcMar>
              <w:top w:w="100" w:type="dxa"/>
              <w:start w:w="120" w:type="dxa"/>
              <w:bottom w:w="100" w:type="dxa"/>
              <w:end w:w="120" w:type="dxa"/>
            </w:tcMar>
            <w:shd w:fill="F5F7FA"/>
            <w:vAlign w:val="center"/>
          </w:tcPr>
          <w:p>
            <w:r>
              <w:rPr>
                <w:sz w:val="16"/>
              </w:rPr>
              <w:t>Software supply chain</w:t>
            </w:r>
          </w:p>
        </w:tc>
        <w:tc>
          <w:tcPr>
            <w:tcW w:type="dxa" w:w="5083"/>
            <w:tcMar>
              <w:top w:w="100" w:type="dxa"/>
              <w:start w:w="120" w:type="dxa"/>
              <w:bottom w:w="100" w:type="dxa"/>
              <w:end w:w="120" w:type="dxa"/>
            </w:tcMar>
            <w:shd w:fill="F5F7FA"/>
            <w:vAlign w:val="center"/>
          </w:tcPr>
          <w:p>
            <w:r>
              <w:rPr>
                <w:sz w:val="16"/>
              </w:rPr>
              <w:t>Reproducible builds, dependency review, signed releases, vulnerability disclosure, patch process</w:t>
            </w:r>
          </w:p>
        </w:tc>
      </w:tr>
    </w:tbl>
    <w:p>
      <w:pPr>
        <w:spacing w:after="20"/>
      </w:pPr>
    </w:p>
    <w:p>
      <w:pPr>
        <w:pStyle w:val="ListBullet"/>
        <w:ind w:left="317" w:hanging="202"/>
      </w:pPr>
      <w:r>
        <w:t>Public testnet should run long enough to expose unstable difficulty, network partitions, mining oscillation, wallet failures, and EVM compatibility issues.</w:t>
      </w:r>
    </w:p>
    <w:p>
      <w:pPr>
        <w:pStyle w:val="ListBullet"/>
        <w:ind w:left="317" w:hanging="202"/>
      </w:pPr>
      <w:r>
        <w:t>Consensus code, vesting contracts, presale verification, treasury processes, exchange custody, and rental settlement require independent review appropriate to their risk.</w:t>
      </w:r>
    </w:p>
    <w:p>
      <w:pPr>
        <w:pStyle w:val="ListBullet"/>
        <w:ind w:left="317" w:hanging="202"/>
      </w:pPr>
      <w:r>
        <w:t>Critical keys and production secrets must never be embedded in frontend code, public repositories, or client-delivered environment variables.</w:t>
      </w:r>
    </w:p>
    <w:p>
      <w:pPr>
        <w:pStyle w:val="ListBullet"/>
        <w:ind w:left="317" w:hanging="202"/>
      </w:pPr>
      <w:r>
        <w:t>Incident response should define severity, containment, user communication, withdrawal controls, evidence retention, and recovery procedures.</w:t>
      </w:r>
    </w:p>
    <w:p>
      <w:r>
        <w:br w:type="page"/>
      </w:r>
    </w:p>
    <w:p>
      <w:pPr>
        <w:pStyle w:val="Heading1"/>
      </w:pPr>
      <w:r>
        <w:t>14. Governance and Treasury Transparency</w:t>
      </w:r>
    </w:p>
    <w:p>
      <w:pPr>
        <w:jc w:val="left"/>
      </w:pPr>
      <w:r>
        <w:rPr>
          <w:b/>
          <w:color w:val="5A6778"/>
          <w:sz w:val="22"/>
        </w:rPr>
        <w:t>Controls before decentralization claims</w:t>
      </w:r>
    </w:p>
    <w:p>
      <w:r>
        <w:t>Early project governance is expected to be operational rather than fully decentralized. The project should clearly identify who controls consensus releases, genesis wallets, exchange operations, treasury spending, presale configuration, and marketplace policy.</w:t>
      </w:r>
    </w:p>
    <w:tbl>
      <w:tblPr>
        <w:tblStyle w:val="TableGrid"/>
        <w:tblW w:type="auto" w:w="0"/>
        <w:jc w:val="center"/>
        <w:tblLook w:firstColumn="1" w:firstRow="1" w:lastColumn="0" w:lastRow="0" w:noHBand="0" w:noVBand="1" w:val="04A0"/>
      </w:tblPr>
      <w:tblGrid>
        <w:gridCol w:w="5083"/>
        <w:gridCol w:w="5083"/>
      </w:tblGrid>
      <w:tr>
        <w:trPr>
          <w:tblHeader w:val="true"/>
        </w:trPr>
        <w:tc>
          <w:tcPr>
            <w:tcW w:type="dxa" w:w="5083"/>
            <w:shd w:fill="0B1728"/>
            <w:tcMar>
              <w:top w:w="100" w:type="dxa"/>
              <w:start w:w="120" w:type="dxa"/>
              <w:bottom w:w="100" w:type="dxa"/>
              <w:end w:w="120" w:type="dxa"/>
            </w:tcMar>
            <w:vAlign w:val="center"/>
          </w:tcPr>
          <w:p>
            <w:pPr>
              <w:jc w:val="left"/>
            </w:pPr>
            <w:r>
              <w:rPr>
                <w:b/>
                <w:color w:val="FFFFFF"/>
                <w:sz w:val="17"/>
              </w:rPr>
              <w:t>Transparency item</w:t>
            </w:r>
          </w:p>
        </w:tc>
        <w:tc>
          <w:tcPr>
            <w:tcW w:type="dxa" w:w="5083"/>
            <w:shd w:fill="0B1728"/>
            <w:tcMar>
              <w:top w:w="100" w:type="dxa"/>
              <w:start w:w="120" w:type="dxa"/>
              <w:bottom w:w="100" w:type="dxa"/>
              <w:end w:w="120" w:type="dxa"/>
            </w:tcMar>
            <w:vAlign w:val="center"/>
          </w:tcPr>
          <w:p>
            <w:pPr>
              <w:jc w:val="left"/>
            </w:pPr>
            <w:r>
              <w:rPr>
                <w:b/>
                <w:color w:val="FFFFFF"/>
                <w:sz w:val="17"/>
              </w:rPr>
              <w:t>Recommended disclosure</w:t>
            </w:r>
          </w:p>
        </w:tc>
      </w:tr>
      <w:tr>
        <w:tc>
          <w:tcPr>
            <w:tcW w:type="dxa" w:w="5083"/>
            <w:tcMar>
              <w:top w:w="100" w:type="dxa"/>
              <w:start w:w="120" w:type="dxa"/>
              <w:bottom w:w="100" w:type="dxa"/>
              <w:end w:w="120" w:type="dxa"/>
            </w:tcMar>
            <w:vAlign w:val="center"/>
          </w:tcPr>
          <w:p>
            <w:r>
              <w:rPr>
                <w:sz w:val="16"/>
              </w:rPr>
              <w:t>Genesis allocation</w:t>
            </w:r>
          </w:p>
        </w:tc>
        <w:tc>
          <w:tcPr>
            <w:tcW w:type="dxa" w:w="5083"/>
            <w:tcMar>
              <w:top w:w="100" w:type="dxa"/>
              <w:start w:w="120" w:type="dxa"/>
              <w:bottom w:w="100" w:type="dxa"/>
              <w:end w:w="120" w:type="dxa"/>
            </w:tcMar>
            <w:vAlign w:val="center"/>
          </w:tcPr>
          <w:p>
            <w:r>
              <w:rPr>
                <w:sz w:val="16"/>
              </w:rPr>
              <w:t>Wallet addresses, purpose, amount, lock, vesting, and authorized signers</w:t>
            </w:r>
          </w:p>
        </w:tc>
      </w:tr>
      <w:tr>
        <w:tc>
          <w:tcPr>
            <w:tcW w:type="dxa" w:w="5083"/>
            <w:tcMar>
              <w:top w:w="100" w:type="dxa"/>
              <w:start w:w="120" w:type="dxa"/>
              <w:bottom w:w="100" w:type="dxa"/>
              <w:end w:w="120" w:type="dxa"/>
            </w:tcMar>
            <w:shd w:fill="F5F7FA"/>
            <w:vAlign w:val="center"/>
          </w:tcPr>
          <w:p>
            <w:r>
              <w:rPr>
                <w:sz w:val="16"/>
              </w:rPr>
              <w:t>Ecosystem &amp; Liquidity</w:t>
            </w:r>
          </w:p>
        </w:tc>
        <w:tc>
          <w:tcPr>
            <w:tcW w:type="dxa" w:w="5083"/>
            <w:tcMar>
              <w:top w:w="100" w:type="dxa"/>
              <w:start w:w="120" w:type="dxa"/>
              <w:bottom w:w="100" w:type="dxa"/>
              <w:end w:w="120" w:type="dxa"/>
            </w:tcMar>
            <w:shd w:fill="F5F7FA"/>
            <w:vAlign w:val="center"/>
          </w:tcPr>
          <w:p>
            <w:r>
              <w:rPr>
                <w:sz w:val="16"/>
              </w:rPr>
              <w:t>Presale sub-allocation, liquidity inventory, airdrop budgets, grants, and remaining balance</w:t>
            </w:r>
          </w:p>
        </w:tc>
      </w:tr>
      <w:tr>
        <w:tc>
          <w:tcPr>
            <w:tcW w:type="dxa" w:w="5083"/>
            <w:tcMar>
              <w:top w:w="100" w:type="dxa"/>
              <w:start w:w="120" w:type="dxa"/>
              <w:bottom w:w="100" w:type="dxa"/>
              <w:end w:w="120" w:type="dxa"/>
            </w:tcMar>
            <w:vAlign w:val="center"/>
          </w:tcPr>
          <w:p>
            <w:r>
              <w:rPr>
                <w:sz w:val="16"/>
              </w:rPr>
              <w:t>Development Fund</w:t>
            </w:r>
          </w:p>
        </w:tc>
        <w:tc>
          <w:tcPr>
            <w:tcW w:type="dxa" w:w="5083"/>
            <w:tcMar>
              <w:top w:w="100" w:type="dxa"/>
              <w:start w:w="120" w:type="dxa"/>
              <w:bottom w:w="100" w:type="dxa"/>
              <w:end w:w="120" w:type="dxa"/>
            </w:tcMar>
            <w:vAlign w:val="center"/>
          </w:tcPr>
          <w:p>
            <w:r>
              <w:rPr>
                <w:sz w:val="16"/>
              </w:rPr>
              <w:t>Multi-signature address, budget categories, spending approvals, vesting or release schedule</w:t>
            </w:r>
          </w:p>
        </w:tc>
      </w:tr>
      <w:tr>
        <w:tc>
          <w:tcPr>
            <w:tcW w:type="dxa" w:w="5083"/>
            <w:tcMar>
              <w:top w:w="100" w:type="dxa"/>
              <w:start w:w="120" w:type="dxa"/>
              <w:bottom w:w="100" w:type="dxa"/>
              <w:end w:w="120" w:type="dxa"/>
            </w:tcMar>
            <w:shd w:fill="F5F7FA"/>
            <w:vAlign w:val="center"/>
          </w:tcPr>
          <w:p>
            <w:r>
              <w:rPr>
                <w:sz w:val="16"/>
              </w:rPr>
              <w:t>Circulating supply</w:t>
            </w:r>
          </w:p>
        </w:tc>
        <w:tc>
          <w:tcPr>
            <w:tcW w:type="dxa" w:w="5083"/>
            <w:tcMar>
              <w:top w:w="100" w:type="dxa"/>
              <w:start w:w="120" w:type="dxa"/>
              <w:bottom w:w="100" w:type="dxa"/>
              <w:end w:w="120" w:type="dxa"/>
            </w:tcMar>
            <w:shd w:fill="F5F7FA"/>
            <w:vAlign w:val="center"/>
          </w:tcPr>
          <w:p>
            <w:r>
              <w:rPr>
                <w:sz w:val="16"/>
              </w:rPr>
              <w:t>Methodology, excluded locked wallets, mined supply, released genesis balances, and reporting frequency</w:t>
            </w:r>
          </w:p>
        </w:tc>
      </w:tr>
      <w:tr>
        <w:tc>
          <w:tcPr>
            <w:tcW w:type="dxa" w:w="5083"/>
            <w:tcMar>
              <w:top w:w="100" w:type="dxa"/>
              <w:start w:w="120" w:type="dxa"/>
              <w:bottom w:w="100" w:type="dxa"/>
              <w:end w:w="120" w:type="dxa"/>
            </w:tcMar>
            <w:vAlign w:val="center"/>
          </w:tcPr>
          <w:p>
            <w:r>
              <w:rPr>
                <w:sz w:val="16"/>
              </w:rPr>
              <w:t>Software governance</w:t>
            </w:r>
          </w:p>
        </w:tc>
        <w:tc>
          <w:tcPr>
            <w:tcW w:type="dxa" w:w="5083"/>
            <w:tcMar>
              <w:top w:w="100" w:type="dxa"/>
              <w:start w:w="120" w:type="dxa"/>
              <w:bottom w:w="100" w:type="dxa"/>
              <w:end w:w="120" w:type="dxa"/>
            </w:tcMar>
            <w:vAlign w:val="center"/>
          </w:tcPr>
          <w:p>
            <w:r>
              <w:rPr>
                <w:sz w:val="16"/>
              </w:rPr>
              <w:t>Repository, licenses, release signing, upgrade policy, supported versions, and security contacts</w:t>
            </w:r>
          </w:p>
        </w:tc>
      </w:tr>
      <w:tr>
        <w:tc>
          <w:tcPr>
            <w:tcW w:type="dxa" w:w="5083"/>
            <w:tcMar>
              <w:top w:w="100" w:type="dxa"/>
              <w:start w:w="120" w:type="dxa"/>
              <w:bottom w:w="100" w:type="dxa"/>
              <w:end w:w="120" w:type="dxa"/>
            </w:tcMar>
            <w:shd w:fill="F5F7FA"/>
            <w:vAlign w:val="center"/>
          </w:tcPr>
          <w:p>
            <w:r>
              <w:rPr>
                <w:sz w:val="16"/>
              </w:rPr>
              <w:t>Future governance</w:t>
            </w:r>
          </w:p>
        </w:tc>
        <w:tc>
          <w:tcPr>
            <w:tcW w:type="dxa" w:w="5083"/>
            <w:tcMar>
              <w:top w:w="100" w:type="dxa"/>
              <w:start w:w="120" w:type="dxa"/>
              <w:bottom w:w="100" w:type="dxa"/>
              <w:end w:w="120" w:type="dxa"/>
            </w:tcMar>
            <w:shd w:fill="F5F7FA"/>
            <w:vAlign w:val="center"/>
          </w:tcPr>
          <w:p>
            <w:r>
              <w:rPr>
                <w:sz w:val="16"/>
              </w:rPr>
              <w:t>Scope of community voting, eligibility, quorum, timelocks, emergency powers, and legal limitations</w:t>
            </w:r>
          </w:p>
        </w:tc>
      </w:tr>
    </w:tbl>
    <w:p>
      <w:pPr>
        <w:spacing w:after="20"/>
      </w:pPr>
    </w:p>
    <w:p>
      <w:r>
        <w:t>Community governance should not be introduced as a marketing label before voting scope, treasury authority, emergency powers, quorum, execution, and accountability are defined. Security-sensitive actions may require time delays, multi-signature execution, or staged activation.</w:t>
      </w:r>
    </w:p>
    <w:p>
      <w:r>
        <w:br w:type="page"/>
      </w:r>
    </w:p>
    <w:p>
      <w:pPr>
        <w:pStyle w:val="Heading1"/>
      </w:pPr>
      <w:r>
        <w:t>15. Era Plan</w:t>
      </w:r>
    </w:p>
    <w:p>
      <w:pPr>
        <w:jc w:val="left"/>
      </w:pPr>
      <w:r>
        <w:rPr>
          <w:b/>
          <w:color w:val="5A6778"/>
          <w:sz w:val="22"/>
        </w:rPr>
        <w:t>Presale, network, exchange, rental, and open-utility milestones</w:t>
      </w:r>
    </w:p>
    <w:tbl>
      <w:tblPr>
        <w:tblStyle w:val="TableGrid"/>
        <w:tblW w:type="auto" w:w="0"/>
        <w:jc w:val="center"/>
        <w:tblLayout w:type="autofit"/>
        <w:tblLook w:firstColumn="1" w:firstRow="1" w:lastColumn="0" w:lastRow="0" w:noHBand="0" w:noVBand="1" w:val="04A0"/>
      </w:tblPr>
      <w:tblGrid>
        <w:gridCol w:w="3389"/>
        <w:gridCol w:w="3389"/>
        <w:gridCol w:w="3389"/>
      </w:tblGrid>
      <w:tr>
        <w:trPr>
          <w:tblHeader w:val="true"/>
        </w:trPr>
        <w:tc>
          <w:tcPr>
            <w:tcW w:type="dxa" w:w="3389"/>
            <w:shd w:fill="0A1B2D"/>
            <w:tcMar>
              <w:top w:w="90" w:type="dxa"/>
              <w:start w:w="90" w:type="dxa"/>
              <w:bottom w:w="90" w:type="dxa"/>
              <w:end w:w="90" w:type="dxa"/>
            </w:tcMar>
            <w:vAlign w:val="center"/>
          </w:tcPr>
          <w:p>
            <w:pPr>
              <w:jc w:val="left"/>
            </w:pPr>
            <w:r>
              <w:rPr>
                <w:b/>
                <w:color w:val="FFFFFF"/>
                <w:sz w:val="16"/>
              </w:rPr>
              <w:t>Era</w:t>
            </w:r>
          </w:p>
        </w:tc>
        <w:tc>
          <w:tcPr>
            <w:tcW w:type="dxa" w:w="3389"/>
            <w:shd w:fill="0A1B2D"/>
            <w:tcMar>
              <w:top w:w="90" w:type="dxa"/>
              <w:start w:w="90" w:type="dxa"/>
              <w:bottom w:w="90" w:type="dxa"/>
              <w:end w:w="90" w:type="dxa"/>
            </w:tcMar>
            <w:vAlign w:val="center"/>
          </w:tcPr>
          <w:p>
            <w:pPr>
              <w:jc w:val="left"/>
            </w:pPr>
            <w:r>
              <w:rPr>
                <w:b/>
                <w:color w:val="FFFFFF"/>
                <w:sz w:val="16"/>
              </w:rPr>
              <w:t>Target period</w:t>
            </w:r>
          </w:p>
        </w:tc>
        <w:tc>
          <w:tcPr>
            <w:tcW w:type="dxa" w:w="3389"/>
            <w:shd w:fill="0A1B2D"/>
            <w:tcMar>
              <w:top w:w="90" w:type="dxa"/>
              <w:start w:w="90" w:type="dxa"/>
              <w:bottom w:w="90" w:type="dxa"/>
              <w:end w:w="90" w:type="dxa"/>
            </w:tcMar>
            <w:vAlign w:val="center"/>
          </w:tcPr>
          <w:p>
            <w:pPr>
              <w:jc w:val="left"/>
            </w:pPr>
            <w:r>
              <w:rPr>
                <w:b/>
                <w:color w:val="FFFFFF"/>
                <w:sz w:val="16"/>
              </w:rPr>
              <w:t>Primary milestones</w:t>
            </w:r>
          </w:p>
        </w:tc>
      </w:tr>
      <w:tr>
        <w:tc>
          <w:tcPr>
            <w:tcW w:type="dxa" w:w="3389"/>
            <w:tcMar>
              <w:top w:w="90" w:type="dxa"/>
              <w:start w:w="90" w:type="dxa"/>
              <w:bottom w:w="90" w:type="dxa"/>
              <w:end w:w="90" w:type="dxa"/>
            </w:tcMar>
            <w:vAlign w:val="center"/>
          </w:tcPr>
          <w:p>
            <w:pPr>
              <w:spacing w:after="0"/>
            </w:pPr>
            <w:r>
              <w:rPr>
                <w:rFonts w:ascii="Aptos" w:hAnsi="Aptos"/>
                <w:sz w:val="16"/>
              </w:rPr>
            </w:r>
            <w:r>
              <w:rPr>
                <w:rFonts w:ascii="Aptos" w:hAnsi="Aptos"/>
                <w:b w:val="0"/>
                <w:sz w:val="16"/>
              </w:rPr>
              <w:t>Era I - Presale &amp; Community</w:t>
            </w:r>
          </w:p>
        </w:tc>
        <w:tc>
          <w:tcPr>
            <w:tcW w:type="dxa" w:w="3389"/>
            <w:tcMar>
              <w:top w:w="90" w:type="dxa"/>
              <w:start w:w="90" w:type="dxa"/>
              <w:bottom w:w="90" w:type="dxa"/>
              <w:end w:w="90" w:type="dxa"/>
            </w:tcMar>
            <w:vAlign w:val="center"/>
          </w:tcPr>
          <w:p>
            <w:pPr>
              <w:spacing w:after="0"/>
            </w:pPr>
            <w:r>
              <w:rPr>
                <w:rFonts w:ascii="Aptos" w:hAnsi="Aptos"/>
                <w:sz w:val="16"/>
              </w:rPr>
            </w:r>
            <w:r>
              <w:rPr>
                <w:rFonts w:ascii="Aptos" w:hAnsi="Aptos"/>
                <w:b w:val="0"/>
                <w:sz w:val="16"/>
              </w:rPr>
              <w:t>Q3 2026</w:t>
            </w:r>
          </w:p>
        </w:tc>
        <w:tc>
          <w:tcPr>
            <w:tcW w:type="dxa" w:w="3389"/>
            <w:tcMar>
              <w:top w:w="90" w:type="dxa"/>
              <w:start w:w="90" w:type="dxa"/>
              <w:bottom w:w="90" w:type="dxa"/>
              <w:end w:w="90" w:type="dxa"/>
            </w:tcMar>
            <w:vAlign w:val="center"/>
          </w:tcPr>
          <w:p>
            <w:pPr>
              <w:spacing w:after="0"/>
            </w:pPr>
            <w:r>
              <w:rPr>
                <w:rFonts w:ascii="Aptos" w:hAnsi="Aptos"/>
                <w:sz w:val="16"/>
              </w:rPr>
            </w:r>
            <w:r>
              <w:rPr>
                <w:rFonts w:ascii="Aptos" w:hAnsi="Aptos"/>
                <w:b w:val="0"/>
                <w:sz w:val="16"/>
              </w:rPr>
              <w:t>Publish the whitepaper and final presale terms; configure USDT payments on supported networks; disclose allocation and treasury controls; complete community onboarding and airdrop verification.</w:t>
            </w:r>
          </w:p>
        </w:tc>
      </w:tr>
      <w:tr>
        <w:tc>
          <w:tcPr>
            <w:tcW w:type="dxa" w:w="3389"/>
            <w:tcMar>
              <w:top w:w="90" w:type="dxa"/>
              <w:start w:w="90" w:type="dxa"/>
              <w:bottom w:w="90" w:type="dxa"/>
              <w:end w:w="90" w:type="dxa"/>
            </w:tcMar>
            <w:shd w:fill="F3F5F7"/>
            <w:vAlign w:val="center"/>
          </w:tcPr>
          <w:p>
            <w:pPr>
              <w:spacing w:after="0"/>
            </w:pPr>
            <w:r>
              <w:rPr>
                <w:rFonts w:ascii="Aptos" w:hAnsi="Aptos"/>
                <w:sz w:val="16"/>
              </w:rPr>
            </w:r>
            <w:r>
              <w:rPr>
                <w:rFonts w:ascii="Aptos" w:hAnsi="Aptos"/>
                <w:b w:val="0"/>
                <w:sz w:val="16"/>
              </w:rPr>
              <w:t>Era II - KPOW Network</w:t>
            </w:r>
          </w:p>
        </w:tc>
        <w:tc>
          <w:tcPr>
            <w:tcW w:type="dxa" w:w="3389"/>
            <w:tcMar>
              <w:top w:w="90" w:type="dxa"/>
              <w:start w:w="90" w:type="dxa"/>
              <w:bottom w:w="90" w:type="dxa"/>
              <w:end w:w="90" w:type="dxa"/>
            </w:tcMar>
            <w:shd w:fill="F3F5F7"/>
            <w:vAlign w:val="center"/>
          </w:tcPr>
          <w:p>
            <w:pPr>
              <w:spacing w:after="0"/>
            </w:pPr>
            <w:r>
              <w:rPr>
                <w:rFonts w:ascii="Aptos" w:hAnsi="Aptos"/>
                <w:sz w:val="16"/>
              </w:rPr>
            </w:r>
            <w:r>
              <w:rPr>
                <w:rFonts w:ascii="Aptos" w:hAnsi="Aptos"/>
                <w:b w:val="0"/>
                <w:sz w:val="16"/>
              </w:rPr>
              <w:t>Q4 2026</w:t>
            </w:r>
          </w:p>
        </w:tc>
        <w:tc>
          <w:tcPr>
            <w:tcW w:type="dxa" w:w="3389"/>
            <w:tcMar>
              <w:top w:w="90" w:type="dxa"/>
              <w:start w:w="90" w:type="dxa"/>
              <w:bottom w:w="90" w:type="dxa"/>
              <w:end w:w="90" w:type="dxa"/>
            </w:tcMar>
            <w:shd w:fill="F3F5F7"/>
            <w:vAlign w:val="center"/>
          </w:tcPr>
          <w:p>
            <w:pPr>
              <w:spacing w:after="0"/>
            </w:pPr>
            <w:r>
              <w:rPr>
                <w:rFonts w:ascii="Aptos" w:hAnsi="Aptos"/>
                <w:sz w:val="16"/>
              </w:rPr>
            </w:r>
            <w:r>
              <w:rPr>
                <w:rFonts w:ascii="Aptos" w:hAnsi="Aptos"/>
                <w:b w:val="0"/>
                <w:sz w:val="16"/>
              </w:rPr>
              <w:t>Publish the final technical specification; release public testnet, node, RPC, explorer, mining client, and pool integration; validate Ethash, difficulty, 30-second blocks, reward rules, and genesis allocation; launch mainnet when readiness criteria are met.</w:t>
            </w:r>
          </w:p>
        </w:tc>
      </w:tr>
      <w:tr>
        <w:tc>
          <w:tcPr>
            <w:tcW w:type="dxa" w:w="3389"/>
            <w:tcMar>
              <w:top w:w="90" w:type="dxa"/>
              <w:start w:w="90" w:type="dxa"/>
              <w:bottom w:w="90" w:type="dxa"/>
              <w:end w:w="90" w:type="dxa"/>
            </w:tcMar>
            <w:vAlign w:val="center"/>
          </w:tcPr>
          <w:p>
            <w:pPr>
              <w:spacing w:after="0"/>
            </w:pPr>
            <w:r>
              <w:rPr>
                <w:rFonts w:ascii="Aptos" w:hAnsi="Aptos"/>
                <w:sz w:val="16"/>
              </w:rPr>
            </w:r>
            <w:r>
              <w:rPr>
                <w:rFonts w:ascii="Aptos" w:hAnsi="Aptos"/>
                <w:b w:val="0"/>
                <w:sz w:val="16"/>
              </w:rPr>
              <w:t>Era III - KpowBIT Exchange</w:t>
            </w:r>
          </w:p>
        </w:tc>
        <w:tc>
          <w:tcPr>
            <w:tcW w:type="dxa" w:w="3389"/>
            <w:tcMar>
              <w:top w:w="90" w:type="dxa"/>
              <w:start w:w="90" w:type="dxa"/>
              <w:bottom w:w="90" w:type="dxa"/>
              <w:end w:w="90" w:type="dxa"/>
            </w:tcMar>
            <w:vAlign w:val="center"/>
          </w:tcPr>
          <w:p>
            <w:pPr>
              <w:spacing w:after="0"/>
            </w:pPr>
            <w:r>
              <w:rPr>
                <w:rFonts w:ascii="Aptos" w:hAnsi="Aptos"/>
                <w:sz w:val="16"/>
              </w:rPr>
            </w:r>
            <w:r>
              <w:rPr>
                <w:rFonts w:ascii="Aptos" w:hAnsi="Aptos"/>
                <w:b w:val="0"/>
                <w:sz w:val="16"/>
              </w:rPr>
              <w:t>Q1 2027</w:t>
            </w:r>
          </w:p>
        </w:tc>
        <w:tc>
          <w:tcPr>
            <w:tcW w:type="dxa" w:w="3389"/>
            <w:tcMar>
              <w:top w:w="90" w:type="dxa"/>
              <w:start w:w="90" w:type="dxa"/>
              <w:bottom w:w="90" w:type="dxa"/>
              <w:end w:w="90" w:type="dxa"/>
            </w:tcMar>
            <w:vAlign w:val="center"/>
          </w:tcPr>
          <w:p>
            <w:pPr>
              <w:spacing w:after="0"/>
            </w:pPr>
            <w:r>
              <w:rPr>
                <w:rFonts w:ascii="Aptos" w:hAnsi="Aptos"/>
                <w:sz w:val="16"/>
              </w:rPr>
            </w:r>
            <w:r>
              <w:rPr>
                <w:rFonts w:ascii="Aptos" w:hAnsi="Aptos"/>
                <w:b w:val="0"/>
                <w:sz w:val="16"/>
              </w:rPr>
              <w:t>Launch and stabilize KpowBIT Exchange after KPOW Network; integrate the KPOW mainnet wallet, deposits, withdrawals, confirmations, explorer links, spot markets, account controls, and operational monitoring.</w:t>
            </w:r>
          </w:p>
        </w:tc>
      </w:tr>
      <w:tr>
        <w:tc>
          <w:tcPr>
            <w:tcW w:type="dxa" w:w="3389"/>
            <w:tcMar>
              <w:top w:w="90" w:type="dxa"/>
              <w:start w:w="90" w:type="dxa"/>
              <w:bottom w:w="90" w:type="dxa"/>
              <w:end w:w="90" w:type="dxa"/>
            </w:tcMar>
            <w:shd w:fill="F3F5F7"/>
            <w:vAlign w:val="center"/>
          </w:tcPr>
          <w:p>
            <w:pPr>
              <w:spacing w:after="0"/>
            </w:pPr>
            <w:r>
              <w:rPr>
                <w:rFonts w:ascii="Aptos" w:hAnsi="Aptos"/>
                <w:sz w:val="16"/>
              </w:rPr>
            </w:r>
            <w:r>
              <w:rPr>
                <w:rFonts w:ascii="Aptos" w:hAnsi="Aptos"/>
                <w:b w:val="0"/>
                <w:sz w:val="16"/>
              </w:rPr>
              <w:t>Era IV - Mining Rental</w:t>
            </w:r>
          </w:p>
        </w:tc>
        <w:tc>
          <w:tcPr>
            <w:tcW w:type="dxa" w:w="3389"/>
            <w:tcMar>
              <w:top w:w="90" w:type="dxa"/>
              <w:start w:w="90" w:type="dxa"/>
              <w:bottom w:w="90" w:type="dxa"/>
              <w:end w:w="90" w:type="dxa"/>
            </w:tcMar>
            <w:shd w:fill="F3F5F7"/>
            <w:vAlign w:val="center"/>
          </w:tcPr>
          <w:p>
            <w:pPr>
              <w:spacing w:after="0"/>
            </w:pPr>
            <w:r>
              <w:rPr>
                <w:rFonts w:ascii="Aptos" w:hAnsi="Aptos"/>
                <w:sz w:val="16"/>
              </w:rPr>
            </w:r>
            <w:r>
              <w:rPr>
                <w:rFonts w:ascii="Aptos" w:hAnsi="Aptos"/>
                <w:b w:val="0"/>
                <w:sz w:val="16"/>
              </w:rPr>
              <w:t>Q2 2027</w:t>
            </w:r>
          </w:p>
        </w:tc>
        <w:tc>
          <w:tcPr>
            <w:tcW w:type="dxa" w:w="3389"/>
            <w:tcMar>
              <w:top w:w="90" w:type="dxa"/>
              <w:start w:w="90" w:type="dxa"/>
              <w:bottom w:w="90" w:type="dxa"/>
              <w:end w:w="90" w:type="dxa"/>
            </w:tcMar>
            <w:shd w:fill="F3F5F7"/>
            <w:vAlign w:val="center"/>
          </w:tcPr>
          <w:p>
            <w:pPr>
              <w:spacing w:after="0"/>
            </w:pPr>
            <w:r>
              <w:rPr>
                <w:rFonts w:ascii="Aptos" w:hAnsi="Aptos"/>
                <w:sz w:val="16"/>
              </w:rPr>
            </w:r>
            <w:r>
              <w:rPr>
                <w:rFonts w:ascii="Aptos" w:hAnsi="Aptos"/>
                <w:b w:val="0"/>
                <w:sz w:val="16"/>
              </w:rPr>
              <w:t>Onboard and verify selected GPU and ASIC providers; implement searchable offers, contract monitoring, metering, settlement, dispute controls, and closed beta before targeted public release.</w:t>
            </w:r>
          </w:p>
        </w:tc>
      </w:tr>
      <w:tr>
        <w:tc>
          <w:tcPr>
            <w:tcW w:type="dxa" w:w="3389"/>
            <w:tcMar>
              <w:top w:w="90" w:type="dxa"/>
              <w:start w:w="90" w:type="dxa"/>
              <w:bottom w:w="90" w:type="dxa"/>
              <w:end w:w="90" w:type="dxa"/>
            </w:tcMar>
            <w:vAlign w:val="center"/>
          </w:tcPr>
          <w:p>
            <w:pPr>
              <w:spacing w:after="0"/>
            </w:pPr>
            <w:r>
              <w:rPr>
                <w:rFonts w:ascii="Aptos" w:hAnsi="Aptos"/>
                <w:sz w:val="16"/>
              </w:rPr>
            </w:r>
            <w:r>
              <w:rPr>
                <w:rFonts w:ascii="Aptos" w:hAnsi="Aptos"/>
                <w:b w:val="0"/>
                <w:sz w:val="16"/>
              </w:rPr>
              <w:t>Era V - Open Utility</w:t>
            </w:r>
          </w:p>
        </w:tc>
        <w:tc>
          <w:tcPr>
            <w:tcW w:type="dxa" w:w="3389"/>
            <w:tcMar>
              <w:top w:w="90" w:type="dxa"/>
              <w:start w:w="90" w:type="dxa"/>
              <w:bottom w:w="90" w:type="dxa"/>
              <w:end w:w="90" w:type="dxa"/>
            </w:tcMar>
            <w:vAlign w:val="center"/>
          </w:tcPr>
          <w:p>
            <w:pPr>
              <w:spacing w:after="0"/>
            </w:pPr>
            <w:r>
              <w:rPr>
                <w:rFonts w:ascii="Aptos" w:hAnsi="Aptos"/>
                <w:sz w:val="16"/>
              </w:rPr>
            </w:r>
            <w:r>
              <w:rPr>
                <w:rFonts w:ascii="Aptos" w:hAnsi="Aptos"/>
                <w:b w:val="0"/>
                <w:sz w:val="16"/>
              </w:rPr>
              <w:t>Q3 2027-2028+</w:t>
            </w:r>
          </w:p>
        </w:tc>
        <w:tc>
          <w:tcPr>
            <w:tcW w:type="dxa" w:w="3389"/>
            <w:tcMar>
              <w:top w:w="90" w:type="dxa"/>
              <w:start w:w="90" w:type="dxa"/>
              <w:bottom w:w="90" w:type="dxa"/>
              <w:end w:w="90" w:type="dxa"/>
            </w:tcMar>
            <w:vAlign w:val="center"/>
          </w:tcPr>
          <w:p>
            <w:pPr>
              <w:spacing w:after="0"/>
            </w:pPr>
            <w:r>
              <w:rPr>
                <w:rFonts w:ascii="Aptos" w:hAnsi="Aptos"/>
                <w:sz w:val="16"/>
              </w:rPr>
            </w:r>
            <w:r>
              <w:rPr>
                <w:rFonts w:ascii="Aptos" w:hAnsi="Aptos"/>
                <w:b w:val="0"/>
                <w:sz w:val="16"/>
              </w:rPr>
              <w:t>Expand nodes, pools, wallets, developer tools, APIs, provider regions, KPOW utility, grants, open integrations, and transparent governance modules.</w:t>
            </w:r>
          </w:p>
        </w:tc>
      </w:tr>
    </w:tbl>
    <w:p>
      <w:pPr>
        <w:spacing w:after="20"/>
      </w:pPr>
    </w:p>
    <w:tbl>
      <w:tblPr>
        <w:tblW w:type="auto" w:w="0"/>
        <w:jc w:val="center"/>
        <w:tblLook w:firstColumn="1" w:firstRow="1" w:lastColumn="0" w:lastRow="0" w:noHBand="0" w:noVBand="1" w:val="04A0"/>
      </w:tblPr>
      <w:tblGrid>
        <w:gridCol w:w="10166"/>
      </w:tblGrid>
      <w:tr>
        <w:tc>
          <w:tcPr>
            <w:tcW w:type="dxa" w:w="10166"/>
            <w:shd w:fill="FFF7D6"/>
            <w:tcMar>
              <w:top w:w="140" w:type="dxa"/>
              <w:start w:w="170" w:type="dxa"/>
              <w:bottom w:w="140" w:type="dxa"/>
              <w:end w:w="170" w:type="dxa"/>
            </w:tcMar>
          </w:tcPr>
          <w:p>
            <w:r>
              <w:rPr>
                <w:b/>
                <w:color w:val="C99916"/>
              </w:rPr>
              <w:t>Roadmap rule</w:t>
              <w:br/>
            </w:r>
            <w:r>
              <w:t>Dates are targets, not guarantees. A milestone should move forward only when engineering, security, liquidity, operational, provider, and legal readiness are sufficient.</w:t>
            </w:r>
          </w:p>
        </w:tc>
      </w:tr>
    </w:tbl>
    <w:p>
      <w:pPr>
        <w:spacing w:after="0"/>
      </w:pPr>
    </w:p>
    <w:p>
      <w:r>
        <w:br w:type="page"/>
      </w:r>
    </w:p>
    <w:p>
      <w:pPr>
        <w:pStyle w:val="Heading1"/>
      </w:pPr>
      <w:r>
        <w:t>16. Risk Factors</w:t>
      </w:r>
    </w:p>
    <w:p>
      <w:pPr>
        <w:jc w:val="left"/>
      </w:pPr>
      <w:r>
        <w:rPr>
          <w:b/>
          <w:color w:val="5A6778"/>
          <w:sz w:val="22"/>
        </w:rPr>
        <w:t>Material risks that participants should evaluate</w:t>
      </w:r>
    </w:p>
    <w:p>
      <w:pPr>
        <w:pStyle w:val="Heading2"/>
      </w:pPr>
      <w:r>
        <w:t>Technology risk</w:t>
      </w:r>
    </w:p>
    <w:p>
      <w:r>
        <w:t>Consensus, EVM, wallet, explorer, API, exchange, and marketplace software may contain defects, vulnerabilities, or incompatibilities.</w:t>
      </w:r>
    </w:p>
    <w:p>
      <w:pPr>
        <w:pStyle w:val="Heading2"/>
      </w:pPr>
      <w:r>
        <w:t>Network-security risk</w:t>
      </w:r>
    </w:p>
    <w:p>
      <w:r>
        <w:t>A new Proof-of-Work network may have low or volatile hashrate, making reorganizations, mining attacks, oscillation, or stalled blocks more likely.</w:t>
      </w:r>
    </w:p>
    <w:p>
      <w:pPr>
        <w:pStyle w:val="Heading2"/>
      </w:pPr>
      <w:r>
        <w:t>Post-subsidy security risk</w:t>
      </w:r>
    </w:p>
    <w:p>
      <w:r>
        <w:t>The proposed subsidy ends after approximately 3.5 target years. Transaction-fee revenue may be insufficient to maintain desired security unless network usage and miner economics develop.</w:t>
      </w:r>
    </w:p>
    <w:p>
      <w:pPr>
        <w:pStyle w:val="Heading2"/>
      </w:pPr>
      <w:r>
        <w:t>Liquidity and market risk</w:t>
      </w:r>
    </w:p>
    <w:p>
      <w:r>
        <w:t>KPOW may experience low liquidity, high volatility, market manipulation, price gaps, or no sustainable market.</w:t>
      </w:r>
    </w:p>
    <w:p>
      <w:pPr>
        <w:pStyle w:val="Heading2"/>
      </w:pPr>
      <w:r>
        <w:t>Presale risk</w:t>
      </w:r>
    </w:p>
    <w:p>
      <w:r>
        <w:t>Technical, legal, operational, or market events may delay exchange release, token delivery, liquidity, or project milestones.</w:t>
      </w:r>
    </w:p>
    <w:p>
      <w:pPr>
        <w:pStyle w:val="Heading2"/>
      </w:pPr>
      <w:r>
        <w:t>Custody and counterparty risk</w:t>
      </w:r>
    </w:p>
    <w:p>
      <w:r>
        <w:t>Exchange, treasury, payment, market-making, infrastructure, or provider counterparties may fail or be compromised.</w:t>
      </w:r>
    </w:p>
    <w:p>
      <w:pPr>
        <w:pStyle w:val="Heading2"/>
      </w:pPr>
      <w:r>
        <w:t>Mining and rental risk</w:t>
      </w:r>
    </w:p>
    <w:p>
      <w:r>
        <w:t>Hardware may underperform, fail, become incompatible, or produce lower output due to difficulty, pool conditions, fees, downtime, or price changes.</w:t>
      </w:r>
    </w:p>
    <w:p>
      <w:pPr>
        <w:pStyle w:val="Heading2"/>
      </w:pPr>
      <w:r>
        <w:t>Regulatory risk</w:t>
      </w:r>
    </w:p>
    <w:p>
      <w:r>
        <w:t>Token sales, exchanges, mining services, custody, promotions, and cross-border payments may be restricted or require licensing, KYC, reporting, or product changes.</w:t>
      </w:r>
    </w:p>
    <w:p>
      <w:pPr>
        <w:pStyle w:val="Heading2"/>
      </w:pPr>
      <w:r>
        <w:t>Roadmap risk</w:t>
      </w:r>
    </w:p>
    <w:p>
      <w:r>
        <w:t>The exchange, chain, rental marketplace, integrations, and governance plans may be delayed, changed, reduced, or discontinued.</w:t>
      </w:r>
    </w:p>
    <w:p>
      <w:r>
        <w:br w:type="page"/>
      </w:r>
    </w:p>
    <w:p>
      <w:pPr>
        <w:pStyle w:val="Heading1"/>
      </w:pPr>
      <w:r>
        <w:t>17. Legal and Regulatory Considerations</w:t>
      </w:r>
    </w:p>
    <w:p>
      <w:pPr>
        <w:jc w:val="left"/>
      </w:pPr>
      <w:r>
        <w:rPr>
          <w:b/>
          <w:color w:val="5A6778"/>
          <w:sz w:val="22"/>
        </w:rPr>
        <w:t>Availability depends on jurisdiction and final structure</w:t>
      </w:r>
    </w:p>
    <w:p>
      <w:r>
        <w:t>This whitepaper does not create a contract, fiduciary duty, partnership, guaranteed service, ownership right, debt claim, revenue share, or promise of return. Final rights and obligations arise only from applicable terms, contracts, laws, and on-chain records.</w:t>
      </w:r>
    </w:p>
    <w:p>
      <w:pPr>
        <w:pStyle w:val="ListBullet"/>
        <w:ind w:left="317" w:hanging="202"/>
      </w:pPr>
      <w:r>
        <w:t>Presale participation may be unavailable to residents of restricted jurisdictions or sanctioned persons.</w:t>
      </w:r>
    </w:p>
    <w:p>
      <w:pPr>
        <w:pStyle w:val="ListBullet"/>
        <w:ind w:left="317" w:hanging="202"/>
      </w:pPr>
      <w:r>
        <w:t>Identity verification, source-of-funds review, transaction monitoring, tax reporting, or other controls may apply.</w:t>
      </w:r>
    </w:p>
    <w:p>
      <w:pPr>
        <w:pStyle w:val="ListBullet"/>
        <w:ind w:left="317" w:hanging="202"/>
      </w:pPr>
      <w:r>
        <w:t>Exchange and custody services may require licensing, registration, local partners, or jurisdiction-specific restrictions.</w:t>
      </w:r>
    </w:p>
    <w:p>
      <w:pPr>
        <w:pStyle w:val="ListBullet"/>
        <w:ind w:left="317" w:hanging="202"/>
      </w:pPr>
      <w:r>
        <w:t>Mining rental services may be limited by consumer-protection, financial, cloud-service, energy, tax, or digital-asset rules.</w:t>
      </w:r>
    </w:p>
    <w:p>
      <w:pPr>
        <w:pStyle w:val="ListBullet"/>
        <w:ind w:left="317" w:hanging="202"/>
      </w:pPr>
      <w:r>
        <w:t>Marketing materials must avoid guaranteed-return claims and clearly distinguish forecasts, targets, estimates, and live data.</w:t>
      </w:r>
    </w:p>
    <w:p>
      <w:pPr>
        <w:pStyle w:val="ListBullet"/>
        <w:ind w:left="317" w:hanging="202"/>
      </w:pPr>
      <w:r>
        <w:t>Final presale terms, exchange terms, risk disclosures, privacy policy, and marketplace terms should be reviewed by qualified counsel.</w:t>
      </w:r>
    </w:p>
    <w:tbl>
      <w:tblPr>
        <w:tblW w:type="auto" w:w="0"/>
        <w:jc w:val="center"/>
        <w:tblLook w:firstColumn="1" w:firstRow="1" w:lastColumn="0" w:lastRow="0" w:noHBand="0" w:noVBand="1" w:val="04A0"/>
      </w:tblPr>
      <w:tblGrid>
        <w:gridCol w:w="10166"/>
      </w:tblGrid>
      <w:tr>
        <w:tc>
          <w:tcPr>
            <w:tcW w:type="dxa" w:w="10166"/>
            <w:shd w:fill="FFF7D6"/>
            <w:tcMar>
              <w:top w:w="140" w:type="dxa"/>
              <w:start w:w="170" w:type="dxa"/>
              <w:bottom w:w="140" w:type="dxa"/>
              <w:end w:w="170" w:type="dxa"/>
            </w:tcMar>
          </w:tcPr>
          <w:p>
            <w:r>
              <w:rPr>
                <w:b/>
                <w:color w:val="C99916"/>
              </w:rPr>
              <w:t>No reliance</w:t>
              <w:br/>
            </w:r>
            <w:r>
              <w:t>Users should not rely on this draft as the sole basis for purchasing KPOW, trading, mining, providing hardware, or entering a rental contract.</w:t>
            </w:r>
          </w:p>
        </w:tc>
      </w:tr>
    </w:tbl>
    <w:p>
      <w:pPr>
        <w:spacing w:after="0"/>
      </w:pPr>
    </w:p>
    <w:p>
      <w:r>
        <w:br w:type="page"/>
      </w:r>
    </w:p>
    <w:p>
      <w:pPr>
        <w:pStyle w:val="Heading1"/>
      </w:pPr>
      <w:r>
        <w:t>Appendix A. Monetary Calculations</w:t>
      </w:r>
    </w:p>
    <w:p>
      <w:pPr>
        <w:jc w:val="left"/>
      </w:pPr>
      <w:r>
        <w:rPr>
          <w:b/>
          <w:color w:val="5A6778"/>
          <w:sz w:val="22"/>
        </w:rPr>
        <w:t>Reproducible supply and duration formulas</w:t>
      </w:r>
    </w:p>
    <w:tbl>
      <w:tblPr>
        <w:tblStyle w:val="TableGrid"/>
        <w:tblW w:type="auto" w:w="0"/>
        <w:jc w:val="center"/>
        <w:tblLook w:firstColumn="1" w:firstRow="1" w:lastColumn="0" w:lastRow="0" w:noHBand="0" w:noVBand="1" w:val="04A0"/>
      </w:tblPr>
      <w:tblGrid>
        <w:gridCol w:w="3389"/>
        <w:gridCol w:w="3389"/>
        <w:gridCol w:w="3389"/>
      </w:tblGrid>
      <w:tr>
        <w:trPr>
          <w:tblHeader w:val="true"/>
        </w:trPr>
        <w:tc>
          <w:tcPr>
            <w:tcW w:type="dxa" w:w="3389"/>
            <w:shd w:fill="0B1728"/>
            <w:tcMar>
              <w:top w:w="100" w:type="dxa"/>
              <w:start w:w="120" w:type="dxa"/>
              <w:bottom w:w="100" w:type="dxa"/>
              <w:end w:w="120" w:type="dxa"/>
            </w:tcMar>
            <w:vAlign w:val="center"/>
          </w:tcPr>
          <w:p>
            <w:pPr>
              <w:jc w:val="left"/>
            </w:pPr>
            <w:r>
              <w:rPr>
                <w:b/>
                <w:color w:val="FFFFFF"/>
                <w:sz w:val="17"/>
              </w:rPr>
              <w:t>Calculation</w:t>
            </w:r>
          </w:p>
        </w:tc>
        <w:tc>
          <w:tcPr>
            <w:tcW w:type="dxa" w:w="3389"/>
            <w:shd w:fill="0B1728"/>
            <w:tcMar>
              <w:top w:w="100" w:type="dxa"/>
              <w:start w:w="120" w:type="dxa"/>
              <w:bottom w:w="100" w:type="dxa"/>
              <w:end w:w="120" w:type="dxa"/>
            </w:tcMar>
            <w:vAlign w:val="center"/>
          </w:tcPr>
          <w:p>
            <w:pPr>
              <w:jc w:val="left"/>
            </w:pPr>
            <w:r>
              <w:rPr>
                <w:b/>
                <w:color w:val="FFFFFF"/>
                <w:sz w:val="17"/>
              </w:rPr>
              <w:t>Formula</w:t>
            </w:r>
          </w:p>
        </w:tc>
        <w:tc>
          <w:tcPr>
            <w:tcW w:type="dxa" w:w="3389"/>
            <w:shd w:fill="0B1728"/>
            <w:tcMar>
              <w:top w:w="100" w:type="dxa"/>
              <w:start w:w="120" w:type="dxa"/>
              <w:bottom w:w="100" w:type="dxa"/>
              <w:end w:w="120" w:type="dxa"/>
            </w:tcMar>
            <w:vAlign w:val="center"/>
          </w:tcPr>
          <w:p>
            <w:pPr>
              <w:jc w:val="left"/>
            </w:pPr>
            <w:r>
              <w:rPr>
                <w:b/>
                <w:color w:val="FFFFFF"/>
                <w:sz w:val="17"/>
              </w:rPr>
              <w:t>Result</w:t>
            </w:r>
          </w:p>
        </w:tc>
      </w:tr>
      <w:tr>
        <w:tc>
          <w:tcPr>
            <w:tcW w:type="dxa" w:w="3389"/>
            <w:tcMar>
              <w:top w:w="100" w:type="dxa"/>
              <w:start w:w="120" w:type="dxa"/>
              <w:bottom w:w="100" w:type="dxa"/>
              <w:end w:w="120" w:type="dxa"/>
            </w:tcMar>
            <w:vAlign w:val="center"/>
          </w:tcPr>
          <w:p>
            <w:r>
              <w:rPr>
                <w:sz w:val="16"/>
              </w:rPr>
              <w:t>Proof-of-Work allocation</w:t>
            </w:r>
          </w:p>
        </w:tc>
        <w:tc>
          <w:tcPr>
            <w:tcW w:type="dxa" w:w="3389"/>
            <w:tcMar>
              <w:top w:w="100" w:type="dxa"/>
              <w:start w:w="120" w:type="dxa"/>
              <w:bottom w:w="100" w:type="dxa"/>
              <w:end w:w="120" w:type="dxa"/>
            </w:tcMar>
            <w:vAlign w:val="center"/>
          </w:tcPr>
          <w:p>
            <w:r>
              <w:rPr>
                <w:sz w:val="16"/>
              </w:rPr>
              <w:t>21,000,000 × 70%</w:t>
            </w:r>
          </w:p>
        </w:tc>
        <w:tc>
          <w:tcPr>
            <w:tcW w:type="dxa" w:w="3389"/>
            <w:tcMar>
              <w:top w:w="100" w:type="dxa"/>
              <w:start w:w="120" w:type="dxa"/>
              <w:bottom w:w="100" w:type="dxa"/>
              <w:end w:w="120" w:type="dxa"/>
            </w:tcMar>
            <w:vAlign w:val="center"/>
          </w:tcPr>
          <w:p>
            <w:r>
              <w:rPr>
                <w:sz w:val="16"/>
              </w:rPr>
              <w:t>14,700,000 KPOW</w:t>
            </w:r>
          </w:p>
        </w:tc>
      </w:tr>
      <w:tr>
        <w:tc>
          <w:tcPr>
            <w:tcW w:type="dxa" w:w="3389"/>
            <w:tcMar>
              <w:top w:w="100" w:type="dxa"/>
              <w:start w:w="120" w:type="dxa"/>
              <w:bottom w:w="100" w:type="dxa"/>
              <w:end w:w="120" w:type="dxa"/>
            </w:tcMar>
            <w:shd w:fill="F5F7FA"/>
            <w:vAlign w:val="center"/>
          </w:tcPr>
          <w:p>
            <w:r>
              <w:rPr>
                <w:sz w:val="16"/>
              </w:rPr>
              <w:t>Ecosystem &amp; Liquidity</w:t>
            </w:r>
          </w:p>
        </w:tc>
        <w:tc>
          <w:tcPr>
            <w:tcW w:type="dxa" w:w="3389"/>
            <w:tcMar>
              <w:top w:w="100" w:type="dxa"/>
              <w:start w:w="120" w:type="dxa"/>
              <w:bottom w:w="100" w:type="dxa"/>
              <w:end w:w="120" w:type="dxa"/>
            </w:tcMar>
            <w:shd w:fill="F5F7FA"/>
            <w:vAlign w:val="center"/>
          </w:tcPr>
          <w:p>
            <w:r>
              <w:rPr>
                <w:sz w:val="16"/>
              </w:rPr>
              <w:t>21,000,000 × 20%</w:t>
            </w:r>
          </w:p>
        </w:tc>
        <w:tc>
          <w:tcPr>
            <w:tcW w:type="dxa" w:w="3389"/>
            <w:tcMar>
              <w:top w:w="100" w:type="dxa"/>
              <w:start w:w="120" w:type="dxa"/>
              <w:bottom w:w="100" w:type="dxa"/>
              <w:end w:w="120" w:type="dxa"/>
            </w:tcMar>
            <w:shd w:fill="F5F7FA"/>
            <w:vAlign w:val="center"/>
          </w:tcPr>
          <w:p>
            <w:r>
              <w:rPr>
                <w:sz w:val="16"/>
              </w:rPr>
              <w:t>4,200,000 KPOW</w:t>
            </w:r>
          </w:p>
        </w:tc>
      </w:tr>
      <w:tr>
        <w:tc>
          <w:tcPr>
            <w:tcW w:type="dxa" w:w="3389"/>
            <w:tcMar>
              <w:top w:w="100" w:type="dxa"/>
              <w:start w:w="120" w:type="dxa"/>
              <w:bottom w:w="100" w:type="dxa"/>
              <w:end w:w="120" w:type="dxa"/>
            </w:tcMar>
            <w:vAlign w:val="center"/>
          </w:tcPr>
          <w:p>
            <w:r>
              <w:rPr>
                <w:sz w:val="16"/>
              </w:rPr>
              <w:t>Development Fund</w:t>
            </w:r>
          </w:p>
        </w:tc>
        <w:tc>
          <w:tcPr>
            <w:tcW w:type="dxa" w:w="3389"/>
            <w:tcMar>
              <w:top w:w="100" w:type="dxa"/>
              <w:start w:w="120" w:type="dxa"/>
              <w:bottom w:w="100" w:type="dxa"/>
              <w:end w:w="120" w:type="dxa"/>
            </w:tcMar>
            <w:vAlign w:val="center"/>
          </w:tcPr>
          <w:p>
            <w:r>
              <w:rPr>
                <w:sz w:val="16"/>
              </w:rPr>
              <w:t>21,000,000 × 10%</w:t>
            </w:r>
          </w:p>
        </w:tc>
        <w:tc>
          <w:tcPr>
            <w:tcW w:type="dxa" w:w="3389"/>
            <w:tcMar>
              <w:top w:w="100" w:type="dxa"/>
              <w:start w:w="120" w:type="dxa"/>
              <w:bottom w:w="100" w:type="dxa"/>
              <w:end w:w="120" w:type="dxa"/>
            </w:tcMar>
            <w:vAlign w:val="center"/>
          </w:tcPr>
          <w:p>
            <w:r>
              <w:rPr>
                <w:sz w:val="16"/>
              </w:rPr>
              <w:t>2,100,000 KPOW</w:t>
            </w:r>
          </w:p>
        </w:tc>
      </w:tr>
      <w:tr>
        <w:tc>
          <w:tcPr>
            <w:tcW w:type="dxa" w:w="3389"/>
            <w:tcMar>
              <w:top w:w="100" w:type="dxa"/>
              <w:start w:w="120" w:type="dxa"/>
              <w:bottom w:w="100" w:type="dxa"/>
              <w:end w:w="120" w:type="dxa"/>
            </w:tcMar>
            <w:shd w:fill="F5F7FA"/>
            <w:vAlign w:val="center"/>
          </w:tcPr>
          <w:p>
            <w:r>
              <w:rPr>
                <w:sz w:val="16"/>
              </w:rPr>
              <w:t>Terminal reward block</w:t>
            </w:r>
          </w:p>
        </w:tc>
        <w:tc>
          <w:tcPr>
            <w:tcW w:type="dxa" w:w="3389"/>
            <w:tcMar>
              <w:top w:w="100" w:type="dxa"/>
              <w:start w:w="120" w:type="dxa"/>
              <w:bottom w:w="100" w:type="dxa"/>
              <w:end w:w="120" w:type="dxa"/>
            </w:tcMar>
            <w:shd w:fill="F5F7FA"/>
            <w:vAlign w:val="center"/>
          </w:tcPr>
          <w:p>
            <w:r>
              <w:rPr>
                <w:sz w:val="16"/>
              </w:rPr>
              <w:t>14,700,000 ÷ 4</w:t>
            </w:r>
          </w:p>
        </w:tc>
        <w:tc>
          <w:tcPr>
            <w:tcW w:type="dxa" w:w="3389"/>
            <w:tcMar>
              <w:top w:w="100" w:type="dxa"/>
              <w:start w:w="120" w:type="dxa"/>
              <w:bottom w:w="100" w:type="dxa"/>
              <w:end w:w="120" w:type="dxa"/>
            </w:tcMar>
            <w:shd w:fill="F5F7FA"/>
            <w:vAlign w:val="center"/>
          </w:tcPr>
          <w:p>
            <w:r>
              <w:rPr>
                <w:sz w:val="16"/>
              </w:rPr>
              <w:t>3,675,000 blocks</w:t>
            </w:r>
          </w:p>
        </w:tc>
      </w:tr>
      <w:tr>
        <w:tc>
          <w:tcPr>
            <w:tcW w:type="dxa" w:w="3389"/>
            <w:tcMar>
              <w:top w:w="100" w:type="dxa"/>
              <w:start w:w="120" w:type="dxa"/>
              <w:bottom w:w="100" w:type="dxa"/>
              <w:end w:w="120" w:type="dxa"/>
            </w:tcMar>
            <w:vAlign w:val="center"/>
          </w:tcPr>
          <w:p>
            <w:r>
              <w:rPr>
                <w:sz w:val="16"/>
              </w:rPr>
              <w:t>Target blocks per hour</w:t>
            </w:r>
          </w:p>
        </w:tc>
        <w:tc>
          <w:tcPr>
            <w:tcW w:type="dxa" w:w="3389"/>
            <w:tcMar>
              <w:top w:w="100" w:type="dxa"/>
              <w:start w:w="120" w:type="dxa"/>
              <w:bottom w:w="100" w:type="dxa"/>
              <w:end w:w="120" w:type="dxa"/>
            </w:tcMar>
            <w:vAlign w:val="center"/>
          </w:tcPr>
          <w:p>
            <w:r>
              <w:rPr>
                <w:sz w:val="16"/>
              </w:rPr>
              <w:t>3,600 ÷ 30</w:t>
            </w:r>
          </w:p>
        </w:tc>
        <w:tc>
          <w:tcPr>
            <w:tcW w:type="dxa" w:w="3389"/>
            <w:tcMar>
              <w:top w:w="100" w:type="dxa"/>
              <w:start w:w="120" w:type="dxa"/>
              <w:bottom w:w="100" w:type="dxa"/>
              <w:end w:w="120" w:type="dxa"/>
            </w:tcMar>
            <w:vAlign w:val="center"/>
          </w:tcPr>
          <w:p>
            <w:r>
              <w:rPr>
                <w:sz w:val="16"/>
              </w:rPr>
              <w:t>120 blocks</w:t>
            </w:r>
          </w:p>
        </w:tc>
      </w:tr>
      <w:tr>
        <w:tc>
          <w:tcPr>
            <w:tcW w:type="dxa" w:w="3389"/>
            <w:tcMar>
              <w:top w:w="100" w:type="dxa"/>
              <w:start w:w="120" w:type="dxa"/>
              <w:bottom w:w="100" w:type="dxa"/>
              <w:end w:w="120" w:type="dxa"/>
            </w:tcMar>
            <w:shd w:fill="F5F7FA"/>
            <w:vAlign w:val="center"/>
          </w:tcPr>
          <w:p>
            <w:r>
              <w:rPr>
                <w:sz w:val="16"/>
              </w:rPr>
              <w:t>Target blocks per day</w:t>
            </w:r>
          </w:p>
        </w:tc>
        <w:tc>
          <w:tcPr>
            <w:tcW w:type="dxa" w:w="3389"/>
            <w:tcMar>
              <w:top w:w="100" w:type="dxa"/>
              <w:start w:w="120" w:type="dxa"/>
              <w:bottom w:w="100" w:type="dxa"/>
              <w:end w:w="120" w:type="dxa"/>
            </w:tcMar>
            <w:shd w:fill="F5F7FA"/>
            <w:vAlign w:val="center"/>
          </w:tcPr>
          <w:p>
            <w:r>
              <w:rPr>
                <w:sz w:val="16"/>
              </w:rPr>
              <w:t>86,400 ÷ 30</w:t>
            </w:r>
          </w:p>
        </w:tc>
        <w:tc>
          <w:tcPr>
            <w:tcW w:type="dxa" w:w="3389"/>
            <w:tcMar>
              <w:top w:w="100" w:type="dxa"/>
              <w:start w:w="120" w:type="dxa"/>
              <w:bottom w:w="100" w:type="dxa"/>
              <w:end w:w="120" w:type="dxa"/>
            </w:tcMar>
            <w:shd w:fill="F5F7FA"/>
            <w:vAlign w:val="center"/>
          </w:tcPr>
          <w:p>
            <w:r>
              <w:rPr>
                <w:sz w:val="16"/>
              </w:rPr>
              <w:t>2,880 blocks</w:t>
            </w:r>
          </w:p>
        </w:tc>
      </w:tr>
      <w:tr>
        <w:tc>
          <w:tcPr>
            <w:tcW w:type="dxa" w:w="3389"/>
            <w:tcMar>
              <w:top w:w="100" w:type="dxa"/>
              <w:start w:w="120" w:type="dxa"/>
              <w:bottom w:w="100" w:type="dxa"/>
              <w:end w:w="120" w:type="dxa"/>
            </w:tcMar>
            <w:vAlign w:val="center"/>
          </w:tcPr>
          <w:p>
            <w:r>
              <w:rPr>
                <w:sz w:val="16"/>
              </w:rPr>
              <w:t>Target daily emission</w:t>
            </w:r>
          </w:p>
        </w:tc>
        <w:tc>
          <w:tcPr>
            <w:tcW w:type="dxa" w:w="3389"/>
            <w:tcMar>
              <w:top w:w="100" w:type="dxa"/>
              <w:start w:w="120" w:type="dxa"/>
              <w:bottom w:w="100" w:type="dxa"/>
              <w:end w:w="120" w:type="dxa"/>
            </w:tcMar>
            <w:vAlign w:val="center"/>
          </w:tcPr>
          <w:p>
            <w:r>
              <w:rPr>
                <w:sz w:val="16"/>
              </w:rPr>
              <w:t>2,880 × 4</w:t>
            </w:r>
          </w:p>
        </w:tc>
        <w:tc>
          <w:tcPr>
            <w:tcW w:type="dxa" w:w="3389"/>
            <w:tcMar>
              <w:top w:w="100" w:type="dxa"/>
              <w:start w:w="120" w:type="dxa"/>
              <w:bottom w:w="100" w:type="dxa"/>
              <w:end w:w="120" w:type="dxa"/>
            </w:tcMar>
            <w:vAlign w:val="center"/>
          </w:tcPr>
          <w:p>
            <w:r>
              <w:rPr>
                <w:sz w:val="16"/>
              </w:rPr>
              <w:t>11,520 KPOW</w:t>
            </w:r>
          </w:p>
        </w:tc>
      </w:tr>
      <w:tr>
        <w:tc>
          <w:tcPr>
            <w:tcW w:type="dxa" w:w="3389"/>
            <w:tcMar>
              <w:top w:w="100" w:type="dxa"/>
              <w:start w:w="120" w:type="dxa"/>
              <w:bottom w:w="100" w:type="dxa"/>
              <w:end w:w="120" w:type="dxa"/>
            </w:tcMar>
            <w:shd w:fill="F5F7FA"/>
            <w:vAlign w:val="center"/>
          </w:tcPr>
          <w:p>
            <w:r>
              <w:rPr>
                <w:sz w:val="16"/>
              </w:rPr>
              <w:t>Target elapsed seconds</w:t>
            </w:r>
          </w:p>
        </w:tc>
        <w:tc>
          <w:tcPr>
            <w:tcW w:type="dxa" w:w="3389"/>
            <w:tcMar>
              <w:top w:w="100" w:type="dxa"/>
              <w:start w:w="120" w:type="dxa"/>
              <w:bottom w:w="100" w:type="dxa"/>
              <w:end w:w="120" w:type="dxa"/>
            </w:tcMar>
            <w:shd w:fill="F5F7FA"/>
            <w:vAlign w:val="center"/>
          </w:tcPr>
          <w:p>
            <w:r>
              <w:rPr>
                <w:sz w:val="16"/>
              </w:rPr>
              <w:t>3,675,000 × 30</w:t>
            </w:r>
          </w:p>
        </w:tc>
        <w:tc>
          <w:tcPr>
            <w:tcW w:type="dxa" w:w="3389"/>
            <w:tcMar>
              <w:top w:w="100" w:type="dxa"/>
              <w:start w:w="120" w:type="dxa"/>
              <w:bottom w:w="100" w:type="dxa"/>
              <w:end w:w="120" w:type="dxa"/>
            </w:tcMar>
            <w:shd w:fill="F5F7FA"/>
            <w:vAlign w:val="center"/>
          </w:tcPr>
          <w:p>
            <w:r>
              <w:rPr>
                <w:sz w:val="16"/>
              </w:rPr>
              <w:t>110,250,000 seconds</w:t>
            </w:r>
          </w:p>
        </w:tc>
      </w:tr>
      <w:tr>
        <w:tc>
          <w:tcPr>
            <w:tcW w:type="dxa" w:w="3389"/>
            <w:tcMar>
              <w:top w:w="100" w:type="dxa"/>
              <w:start w:w="120" w:type="dxa"/>
              <w:bottom w:w="100" w:type="dxa"/>
              <w:end w:w="120" w:type="dxa"/>
            </w:tcMar>
            <w:vAlign w:val="center"/>
          </w:tcPr>
          <w:p>
            <w:r>
              <w:rPr>
                <w:sz w:val="16"/>
              </w:rPr>
              <w:t>Target elapsed days</w:t>
            </w:r>
          </w:p>
        </w:tc>
        <w:tc>
          <w:tcPr>
            <w:tcW w:type="dxa" w:w="3389"/>
            <w:tcMar>
              <w:top w:w="100" w:type="dxa"/>
              <w:start w:w="120" w:type="dxa"/>
              <w:bottom w:w="100" w:type="dxa"/>
              <w:end w:w="120" w:type="dxa"/>
            </w:tcMar>
            <w:vAlign w:val="center"/>
          </w:tcPr>
          <w:p>
            <w:r>
              <w:rPr>
                <w:sz w:val="16"/>
              </w:rPr>
              <w:t>110,250,000 ÷ 86,400</w:t>
            </w:r>
          </w:p>
        </w:tc>
        <w:tc>
          <w:tcPr>
            <w:tcW w:type="dxa" w:w="3389"/>
            <w:tcMar>
              <w:top w:w="100" w:type="dxa"/>
              <w:start w:w="120" w:type="dxa"/>
              <w:bottom w:w="100" w:type="dxa"/>
              <w:end w:w="120" w:type="dxa"/>
            </w:tcMar>
            <w:vAlign w:val="center"/>
          </w:tcPr>
          <w:p>
            <w:r>
              <w:rPr>
                <w:sz w:val="16"/>
              </w:rPr>
              <w:t>1,276.04 days</w:t>
            </w:r>
          </w:p>
        </w:tc>
      </w:tr>
      <w:tr>
        <w:tc>
          <w:tcPr>
            <w:tcW w:type="dxa" w:w="3389"/>
            <w:tcMar>
              <w:top w:w="100" w:type="dxa"/>
              <w:start w:w="120" w:type="dxa"/>
              <w:bottom w:w="100" w:type="dxa"/>
              <w:end w:w="120" w:type="dxa"/>
            </w:tcMar>
            <w:shd w:fill="F5F7FA"/>
            <w:vAlign w:val="center"/>
          </w:tcPr>
          <w:p>
            <w:r>
              <w:rPr>
                <w:sz w:val="16"/>
              </w:rPr>
              <w:t>Target elapsed years</w:t>
            </w:r>
          </w:p>
        </w:tc>
        <w:tc>
          <w:tcPr>
            <w:tcW w:type="dxa" w:w="3389"/>
            <w:tcMar>
              <w:top w:w="100" w:type="dxa"/>
              <w:start w:w="120" w:type="dxa"/>
              <w:bottom w:w="100" w:type="dxa"/>
              <w:end w:w="120" w:type="dxa"/>
            </w:tcMar>
            <w:shd w:fill="F5F7FA"/>
            <w:vAlign w:val="center"/>
          </w:tcPr>
          <w:p>
            <w:r>
              <w:rPr>
                <w:sz w:val="16"/>
              </w:rPr>
              <w:t>1,276.04 ÷ 365.25</w:t>
            </w:r>
          </w:p>
        </w:tc>
        <w:tc>
          <w:tcPr>
            <w:tcW w:type="dxa" w:w="3389"/>
            <w:tcMar>
              <w:top w:w="100" w:type="dxa"/>
              <w:start w:w="120" w:type="dxa"/>
              <w:bottom w:w="100" w:type="dxa"/>
              <w:end w:w="120" w:type="dxa"/>
            </w:tcMar>
            <w:shd w:fill="F5F7FA"/>
            <w:vAlign w:val="center"/>
          </w:tcPr>
          <w:p>
            <w:r>
              <w:rPr>
                <w:sz w:val="16"/>
              </w:rPr>
              <w:t>3.49 years</w:t>
            </w:r>
          </w:p>
        </w:tc>
      </w:tr>
    </w:tbl>
    <w:p>
      <w:pPr>
        <w:spacing w:after="20"/>
      </w:pPr>
    </w:p>
    <w:p>
      <w:r>
        <w:t>Actual calendar duration may differ because the block interval is a target average. Temporary hashrate changes, difficulty adjustment, network conditions, timestamp rules, and implementation behavior can make blocks faster or slower than 30 seconds.</w:t>
      </w:r>
    </w:p>
    <w:p>
      <w:r>
        <w:br w:type="page"/>
      </w:r>
    </w:p>
    <w:p>
      <w:pPr>
        <w:pStyle w:val="Heading1"/>
      </w:pPr>
      <w:r>
        <w:t>Appendix B. Terminology</w:t>
      </w:r>
    </w:p>
    <w:p>
      <w:pPr>
        <w:jc w:val="left"/>
      </w:pPr>
      <w:r>
        <w:rPr>
          <w:b/>
          <w:color w:val="5A6778"/>
          <w:sz w:val="22"/>
        </w:rPr>
        <w:t>Definitions used in this document</w:t>
      </w:r>
    </w:p>
    <w:tbl>
      <w:tblPr>
        <w:tblStyle w:val="TableGrid"/>
        <w:tblW w:type="auto" w:w="0"/>
        <w:jc w:val="center"/>
        <w:tblLook w:firstColumn="1" w:firstRow="1" w:lastColumn="0" w:lastRow="0" w:noHBand="0" w:noVBand="1" w:val="04A0"/>
      </w:tblPr>
      <w:tblGrid>
        <w:gridCol w:w="5083"/>
        <w:gridCol w:w="5083"/>
      </w:tblGrid>
      <w:tr>
        <w:trPr>
          <w:tblHeader w:val="true"/>
        </w:trPr>
        <w:tc>
          <w:tcPr>
            <w:tcW w:type="dxa" w:w="5083"/>
            <w:shd w:fill="0B1728"/>
            <w:tcMar>
              <w:top w:w="100" w:type="dxa"/>
              <w:start w:w="120" w:type="dxa"/>
              <w:bottom w:w="100" w:type="dxa"/>
              <w:end w:w="120" w:type="dxa"/>
            </w:tcMar>
            <w:vAlign w:val="center"/>
          </w:tcPr>
          <w:p>
            <w:pPr>
              <w:jc w:val="left"/>
            </w:pPr>
            <w:r>
              <w:rPr>
                <w:b/>
                <w:color w:val="FFFFFF"/>
                <w:sz w:val="17"/>
              </w:rPr>
              <w:t>Term</w:t>
            </w:r>
          </w:p>
        </w:tc>
        <w:tc>
          <w:tcPr>
            <w:tcW w:type="dxa" w:w="5083"/>
            <w:shd w:fill="0B1728"/>
            <w:tcMar>
              <w:top w:w="100" w:type="dxa"/>
              <w:start w:w="120" w:type="dxa"/>
              <w:bottom w:w="100" w:type="dxa"/>
              <w:end w:w="120" w:type="dxa"/>
            </w:tcMar>
            <w:vAlign w:val="center"/>
          </w:tcPr>
          <w:p>
            <w:pPr>
              <w:jc w:val="left"/>
            </w:pPr>
            <w:r>
              <w:rPr>
                <w:b/>
                <w:color w:val="FFFFFF"/>
                <w:sz w:val="17"/>
              </w:rPr>
              <w:t>Meaning</w:t>
            </w:r>
          </w:p>
        </w:tc>
      </w:tr>
      <w:tr>
        <w:tc>
          <w:tcPr>
            <w:tcW w:type="dxa" w:w="5083"/>
            <w:tcMar>
              <w:top w:w="100" w:type="dxa"/>
              <w:start w:w="120" w:type="dxa"/>
              <w:bottom w:w="100" w:type="dxa"/>
              <w:end w:w="120" w:type="dxa"/>
            </w:tcMar>
            <w:vAlign w:val="center"/>
          </w:tcPr>
          <w:p>
            <w:r>
              <w:rPr>
                <w:sz w:val="16"/>
              </w:rPr>
              <w:t>Maximum supply</w:t>
            </w:r>
          </w:p>
        </w:tc>
        <w:tc>
          <w:tcPr>
            <w:tcW w:type="dxa" w:w="5083"/>
            <w:tcMar>
              <w:top w:w="100" w:type="dxa"/>
              <w:start w:w="120" w:type="dxa"/>
              <w:bottom w:w="100" w:type="dxa"/>
              <w:end w:w="120" w:type="dxa"/>
            </w:tcMar>
            <w:vAlign w:val="center"/>
          </w:tcPr>
          <w:p>
            <w:r>
              <w:rPr>
                <w:sz w:val="16"/>
              </w:rPr>
              <w:t>The highest total number of KPOW that consensus permits to exist.</w:t>
            </w:r>
          </w:p>
        </w:tc>
      </w:tr>
      <w:tr>
        <w:tc>
          <w:tcPr>
            <w:tcW w:type="dxa" w:w="5083"/>
            <w:tcMar>
              <w:top w:w="100" w:type="dxa"/>
              <w:start w:w="120" w:type="dxa"/>
              <w:bottom w:w="100" w:type="dxa"/>
              <w:end w:w="120" w:type="dxa"/>
            </w:tcMar>
            <w:shd w:fill="F5F7FA"/>
            <w:vAlign w:val="center"/>
          </w:tcPr>
          <w:p>
            <w:r>
              <w:rPr>
                <w:sz w:val="16"/>
              </w:rPr>
              <w:t>Mining allocation</w:t>
            </w:r>
          </w:p>
        </w:tc>
        <w:tc>
          <w:tcPr>
            <w:tcW w:type="dxa" w:w="5083"/>
            <w:tcMar>
              <w:top w:w="100" w:type="dxa"/>
              <w:start w:w="120" w:type="dxa"/>
              <w:bottom w:w="100" w:type="dxa"/>
              <w:end w:w="120" w:type="dxa"/>
            </w:tcMar>
            <w:shd w:fill="F5F7FA"/>
            <w:vAlign w:val="center"/>
          </w:tcPr>
          <w:p>
            <w:r>
              <w:rPr>
                <w:sz w:val="16"/>
              </w:rPr>
              <w:t>KPOW created only through valid block rewards.</w:t>
            </w:r>
          </w:p>
        </w:tc>
      </w:tr>
      <w:tr>
        <w:tc>
          <w:tcPr>
            <w:tcW w:type="dxa" w:w="5083"/>
            <w:tcMar>
              <w:top w:w="100" w:type="dxa"/>
              <w:start w:w="120" w:type="dxa"/>
              <w:bottom w:w="100" w:type="dxa"/>
              <w:end w:w="120" w:type="dxa"/>
            </w:tcMar>
            <w:vAlign w:val="center"/>
          </w:tcPr>
          <w:p>
            <w:r>
              <w:rPr>
                <w:sz w:val="16"/>
              </w:rPr>
              <w:t>Genesis allocation</w:t>
            </w:r>
          </w:p>
        </w:tc>
        <w:tc>
          <w:tcPr>
            <w:tcW w:type="dxa" w:w="5083"/>
            <w:tcMar>
              <w:top w:w="100" w:type="dxa"/>
              <w:start w:w="120" w:type="dxa"/>
              <w:bottom w:w="100" w:type="dxa"/>
              <w:end w:w="120" w:type="dxa"/>
            </w:tcMar>
            <w:vAlign w:val="center"/>
          </w:tcPr>
          <w:p>
            <w:r>
              <w:rPr>
                <w:sz w:val="16"/>
              </w:rPr>
              <w:t>KPOW assigned at network genesis to disclosed ecosystem and development wallets.</w:t>
            </w:r>
          </w:p>
        </w:tc>
      </w:tr>
      <w:tr>
        <w:tc>
          <w:tcPr>
            <w:tcW w:type="dxa" w:w="5083"/>
            <w:tcMar>
              <w:top w:w="100" w:type="dxa"/>
              <w:start w:w="120" w:type="dxa"/>
              <w:bottom w:w="100" w:type="dxa"/>
              <w:end w:w="120" w:type="dxa"/>
            </w:tcMar>
            <w:shd w:fill="F5F7FA"/>
            <w:vAlign w:val="center"/>
          </w:tcPr>
          <w:p>
            <w:r>
              <w:rPr>
                <w:sz w:val="16"/>
              </w:rPr>
              <w:t>Circulating supply</w:t>
            </w:r>
          </w:p>
        </w:tc>
        <w:tc>
          <w:tcPr>
            <w:tcW w:type="dxa" w:w="5083"/>
            <w:tcMar>
              <w:top w:w="100" w:type="dxa"/>
              <w:start w:w="120" w:type="dxa"/>
              <w:bottom w:w="100" w:type="dxa"/>
              <w:end w:w="120" w:type="dxa"/>
            </w:tcMar>
            <w:shd w:fill="F5F7FA"/>
            <w:vAlign w:val="center"/>
          </w:tcPr>
          <w:p>
            <w:r>
              <w:rPr>
                <w:sz w:val="16"/>
              </w:rPr>
              <w:t>KPOW reasonably available to the public market, excluding locked, unmined, and restricted balances under the published methodology.</w:t>
            </w:r>
          </w:p>
        </w:tc>
      </w:tr>
      <w:tr>
        <w:tc>
          <w:tcPr>
            <w:tcW w:type="dxa" w:w="5083"/>
            <w:tcMar>
              <w:top w:w="100" w:type="dxa"/>
              <w:start w:w="120" w:type="dxa"/>
              <w:bottom w:w="100" w:type="dxa"/>
              <w:end w:w="120" w:type="dxa"/>
            </w:tcMar>
            <w:vAlign w:val="center"/>
          </w:tcPr>
          <w:p>
            <w:r>
              <w:rPr>
                <w:sz w:val="16"/>
              </w:rPr>
              <w:t>Block reward</w:t>
            </w:r>
          </w:p>
        </w:tc>
        <w:tc>
          <w:tcPr>
            <w:tcW w:type="dxa" w:w="5083"/>
            <w:tcMar>
              <w:top w:w="100" w:type="dxa"/>
              <w:start w:w="120" w:type="dxa"/>
              <w:bottom w:w="100" w:type="dxa"/>
              <w:end w:w="120" w:type="dxa"/>
            </w:tcMar>
            <w:vAlign w:val="center"/>
          </w:tcPr>
          <w:p>
            <w:r>
              <w:rPr>
                <w:sz w:val="16"/>
              </w:rPr>
              <w:t>New KPOW created for a valid block before the terminal reward block.</w:t>
            </w:r>
          </w:p>
        </w:tc>
      </w:tr>
      <w:tr>
        <w:tc>
          <w:tcPr>
            <w:tcW w:type="dxa" w:w="5083"/>
            <w:tcMar>
              <w:top w:w="100" w:type="dxa"/>
              <w:start w:w="120" w:type="dxa"/>
              <w:bottom w:w="100" w:type="dxa"/>
              <w:end w:w="120" w:type="dxa"/>
            </w:tcMar>
            <w:shd w:fill="F5F7FA"/>
            <w:vAlign w:val="center"/>
          </w:tcPr>
          <w:p>
            <w:r>
              <w:rPr>
                <w:sz w:val="16"/>
              </w:rPr>
              <w:t>Terminal reward block</w:t>
            </w:r>
          </w:p>
        </w:tc>
        <w:tc>
          <w:tcPr>
            <w:tcW w:type="dxa" w:w="5083"/>
            <w:tcMar>
              <w:top w:w="100" w:type="dxa"/>
              <w:start w:w="120" w:type="dxa"/>
              <w:bottom w:w="100" w:type="dxa"/>
              <w:end w:w="120" w:type="dxa"/>
            </w:tcMar>
            <w:shd w:fill="F5F7FA"/>
            <w:vAlign w:val="center"/>
          </w:tcPr>
          <w:p>
            <w:r>
              <w:rPr>
                <w:sz w:val="16"/>
              </w:rPr>
              <w:t>The final block eligible for the 4 KPOW subsidy under the proposed design.</w:t>
            </w:r>
          </w:p>
        </w:tc>
      </w:tr>
      <w:tr>
        <w:tc>
          <w:tcPr>
            <w:tcW w:type="dxa" w:w="5083"/>
            <w:tcMar>
              <w:top w:w="100" w:type="dxa"/>
              <w:start w:w="120" w:type="dxa"/>
              <w:bottom w:w="100" w:type="dxa"/>
              <w:end w:w="120" w:type="dxa"/>
            </w:tcMar>
            <w:vAlign w:val="center"/>
          </w:tcPr>
          <w:p>
            <w:r>
              <w:rPr>
                <w:sz w:val="16"/>
              </w:rPr>
              <w:t>EVM compatibility</w:t>
            </w:r>
          </w:p>
        </w:tc>
        <w:tc>
          <w:tcPr>
            <w:tcW w:type="dxa" w:w="5083"/>
            <w:tcMar>
              <w:top w:w="100" w:type="dxa"/>
              <w:start w:w="120" w:type="dxa"/>
              <w:bottom w:w="100" w:type="dxa"/>
              <w:end w:w="120" w:type="dxa"/>
            </w:tcMar>
            <w:vAlign w:val="center"/>
          </w:tcPr>
          <w:p>
            <w:r>
              <w:rPr>
                <w:sz w:val="16"/>
              </w:rPr>
              <w:t>Ability to execute Ethereum Virtual Machine bytecode and use compatible development tools, subject to implementation details.</w:t>
            </w:r>
          </w:p>
        </w:tc>
      </w:tr>
      <w:tr>
        <w:tc>
          <w:tcPr>
            <w:tcW w:type="dxa" w:w="5083"/>
            <w:tcMar>
              <w:top w:w="100" w:type="dxa"/>
              <w:start w:w="120" w:type="dxa"/>
              <w:bottom w:w="100" w:type="dxa"/>
              <w:end w:w="120" w:type="dxa"/>
            </w:tcMar>
            <w:shd w:fill="F5F7FA"/>
            <w:vAlign w:val="center"/>
          </w:tcPr>
          <w:p>
            <w:r>
              <w:rPr>
                <w:sz w:val="16"/>
              </w:rPr>
              <w:t>Provider</w:t>
            </w:r>
          </w:p>
        </w:tc>
        <w:tc>
          <w:tcPr>
            <w:tcW w:type="dxa" w:w="5083"/>
            <w:tcMar>
              <w:top w:w="100" w:type="dxa"/>
              <w:start w:w="120" w:type="dxa"/>
              <w:bottom w:w="100" w:type="dxa"/>
              <w:end w:w="120" w:type="dxa"/>
            </w:tcMar>
            <w:shd w:fill="F5F7FA"/>
            <w:vAlign w:val="center"/>
          </w:tcPr>
          <w:p>
            <w:r>
              <w:rPr>
                <w:sz w:val="16"/>
              </w:rPr>
              <w:t>An approved operator listing eligible GPU or ASIC mining capacity.</w:t>
            </w:r>
          </w:p>
        </w:tc>
      </w:tr>
      <w:tr>
        <w:tc>
          <w:tcPr>
            <w:tcW w:type="dxa" w:w="5083"/>
            <w:tcMar>
              <w:top w:w="100" w:type="dxa"/>
              <w:start w:w="120" w:type="dxa"/>
              <w:bottom w:w="100" w:type="dxa"/>
              <w:end w:w="120" w:type="dxa"/>
            </w:tcMar>
            <w:vAlign w:val="center"/>
          </w:tcPr>
          <w:p>
            <w:r>
              <w:rPr>
                <w:sz w:val="16"/>
              </w:rPr>
              <w:t>Renter</w:t>
            </w:r>
          </w:p>
        </w:tc>
        <w:tc>
          <w:tcPr>
            <w:tcW w:type="dxa" w:w="5083"/>
            <w:tcMar>
              <w:top w:w="100" w:type="dxa"/>
              <w:start w:w="120" w:type="dxa"/>
              <w:bottom w:w="100" w:type="dxa"/>
              <w:end w:w="120" w:type="dxa"/>
            </w:tcMar>
            <w:vAlign w:val="center"/>
          </w:tcPr>
          <w:p>
            <w:r>
              <w:rPr>
                <w:sz w:val="16"/>
              </w:rPr>
              <w:t>A user purchasing temporary access to listed mining capacity.</w:t>
            </w:r>
          </w:p>
        </w:tc>
      </w:tr>
      <w:tr>
        <w:tc>
          <w:tcPr>
            <w:tcW w:type="dxa" w:w="5083"/>
            <w:tcMar>
              <w:top w:w="100" w:type="dxa"/>
              <w:start w:w="120" w:type="dxa"/>
              <w:bottom w:w="100" w:type="dxa"/>
              <w:end w:w="120" w:type="dxa"/>
            </w:tcMar>
            <w:shd w:fill="F5F7FA"/>
            <w:vAlign w:val="center"/>
          </w:tcPr>
          <w:p>
            <w:r>
              <w:rPr>
                <w:sz w:val="16"/>
              </w:rPr>
              <w:t>Transparent hybrid launch</w:t>
            </w:r>
          </w:p>
        </w:tc>
        <w:tc>
          <w:tcPr>
            <w:tcW w:type="dxa" w:w="5083"/>
            <w:tcMar>
              <w:top w:w="100" w:type="dxa"/>
              <w:start w:w="120" w:type="dxa"/>
              <w:bottom w:w="100" w:type="dxa"/>
              <w:end w:w="120" w:type="dxa"/>
            </w:tcMar>
            <w:shd w:fill="F5F7FA"/>
            <w:vAlign w:val="center"/>
          </w:tcPr>
          <w:p>
            <w:r>
              <w:rPr>
                <w:sz w:val="16"/>
              </w:rPr>
              <w:t>A launch with both protocol-mined supply and disclosed genesis allocation; not a pure fair launch.</w:t>
            </w:r>
          </w:p>
        </w:tc>
      </w:tr>
    </w:tbl>
    <w:p>
      <w:pPr>
        <w:spacing w:after="20"/>
      </w:pPr>
    </w:p>
    <w:p>
      <w:r>
        <w:br w:type="page"/>
      </w:r>
    </w:p>
    <w:p>
      <w:pPr>
        <w:pStyle w:val="Heading1"/>
      </w:pPr>
      <w:r>
        <w:t>Appendix C. Pre-Mainnet Checklist</w:t>
      </w:r>
    </w:p>
    <w:p>
      <w:pPr>
        <w:jc w:val="left"/>
      </w:pPr>
      <w:r>
        <w:rPr>
          <w:b/>
          <w:color w:val="5A6778"/>
          <w:sz w:val="22"/>
        </w:rPr>
        <w:t>Minimum publication and validation items</w:t>
      </w:r>
    </w:p>
    <w:p>
      <w:pPr>
        <w:ind w:left="288"/>
      </w:pPr>
      <w:r>
        <w:rPr>
          <w:b/>
          <w:color w:val="C99916"/>
        </w:rPr>
        <w:t xml:space="preserve">☐  </w:t>
      </w:r>
      <w:r>
        <w:t>Final consensus specification and mining algorithm published.</w:t>
      </w:r>
    </w:p>
    <w:p>
      <w:pPr>
        <w:ind w:left="288"/>
      </w:pPr>
      <w:r>
        <w:rPr>
          <w:b/>
          <w:color w:val="C99916"/>
        </w:rPr>
        <w:t xml:space="preserve">☐  </w:t>
      </w:r>
      <w:r>
        <w:t>Genesis block, allocation file, wallet addresses, locks, and vesting published.</w:t>
      </w:r>
    </w:p>
    <w:p>
      <w:pPr>
        <w:ind w:left="288"/>
      </w:pPr>
      <w:r>
        <w:rPr>
          <w:b/>
          <w:color w:val="C99916"/>
        </w:rPr>
        <w:t xml:space="preserve">☐  </w:t>
      </w:r>
      <w:r>
        <w:t>Maximum supply, terminal reward block, and overflow / boundary tests independently verified.</w:t>
      </w:r>
    </w:p>
    <w:p>
      <w:pPr>
        <w:ind w:left="288"/>
      </w:pPr>
      <w:r>
        <w:rPr>
          <w:b/>
          <w:color w:val="C99916"/>
        </w:rPr>
        <w:t xml:space="preserve">☐  </w:t>
      </w:r>
      <w:r>
        <w:t>30-second block target and per-block difficulty behavior tested under hashrate shocks.</w:t>
      </w:r>
    </w:p>
    <w:p>
      <w:pPr>
        <w:ind w:left="288"/>
      </w:pPr>
      <w:r>
        <w:rPr>
          <w:b/>
          <w:color w:val="C99916"/>
        </w:rPr>
        <w:t xml:space="preserve">☐  </w:t>
      </w:r>
      <w:r>
        <w:t>Node, miner, wallet, explorer, RPC, and EVM compatibility tested on public testnet.</w:t>
      </w:r>
    </w:p>
    <w:p>
      <w:pPr>
        <w:ind w:left="288"/>
      </w:pPr>
      <w:r>
        <w:rPr>
          <w:b/>
          <w:color w:val="C99916"/>
        </w:rPr>
        <w:t xml:space="preserve">☐  </w:t>
      </w:r>
      <w:r>
        <w:t>Reorganization, timestamp, peer, transaction-pool, gas, state, and denial-of-service tests completed.</w:t>
      </w:r>
    </w:p>
    <w:p>
      <w:pPr>
        <w:ind w:left="288"/>
      </w:pPr>
      <w:r>
        <w:rPr>
          <w:b/>
          <w:color w:val="C99916"/>
        </w:rPr>
        <w:t xml:space="preserve">☐  </w:t>
      </w:r>
      <w:r>
        <w:t>Reproducible builds, signed binaries, licenses, source attribution, and vulnerability process published.</w:t>
      </w:r>
    </w:p>
    <w:p>
      <w:pPr>
        <w:ind w:left="288"/>
      </w:pPr>
      <w:r>
        <w:rPr>
          <w:b/>
          <w:color w:val="C99916"/>
        </w:rPr>
        <w:t xml:space="preserve">☐  </w:t>
      </w:r>
      <w:r>
        <w:t>Presale terms, payment contracts, treasury addresses, allocation records, vesting, and restricted jurisdictions published.</w:t>
      </w:r>
    </w:p>
    <w:p>
      <w:pPr>
        <w:ind w:left="288"/>
      </w:pPr>
      <w:r>
        <w:rPr>
          <w:b/>
          <w:color w:val="C99916"/>
        </w:rPr>
        <w:t xml:space="preserve">☐  </w:t>
      </w:r>
      <w:r>
        <w:t>Exchange wallet, listing, custody, withdrawal, incident, support, and maintenance procedures reviewed.</w:t>
      </w:r>
    </w:p>
    <w:p>
      <w:pPr>
        <w:ind w:left="288"/>
      </w:pPr>
      <w:r>
        <w:rPr>
          <w:b/>
          <w:color w:val="C99916"/>
        </w:rPr>
        <w:t xml:space="preserve">☐  </w:t>
      </w:r>
      <w:r>
        <w:t>Rental provider onboarding, metering, settlement, collateral, refund, dispute, and anti-fraud policies tested before beta.</w:t>
      </w:r>
    </w:p>
    <w:p>
      <w:pPr>
        <w:ind w:left="288"/>
      </w:pPr>
      <w:r>
        <w:rPr>
          <w:b/>
          <w:color w:val="C99916"/>
        </w:rPr>
        <w:t xml:space="preserve">☐  </w:t>
      </w:r>
      <w:r>
        <w:t>Circulating-supply methodology and reporting process published.</w:t>
      </w:r>
    </w:p>
    <w:p>
      <w:pPr>
        <w:ind w:left="288"/>
      </w:pPr>
      <w:r>
        <w:rPr>
          <w:b/>
          <w:color w:val="C99916"/>
        </w:rPr>
        <w:t xml:space="preserve">☐  </w:t>
      </w:r>
      <w:r>
        <w:t>Independent security and legal reviews completed at a level appropriate to launch risk.</w:t>
      </w:r>
    </w:p>
    <w:p/>
    <w:p>
      <w:pPr>
        <w:ind w:left="288"/>
      </w:pPr>
      <w:r>
        <w:rPr>
          <w:b/>
          <w:color w:val="C99916"/>
        </w:rPr>
        <w:t>☐  Mainnet and testnet RPC, WebSocket, explorer, Chain ID, and wallet configuration published and tested.</w:t>
      </w:r>
    </w:p>
    <w:p>
      <w:pPr>
        <w:ind w:left="288"/>
      </w:pPr>
      <w:r>
        <w:rPr>
          <w:b/>
          <w:color w:val="C99916"/>
        </w:rPr>
        <w:t>☐  Public endpoints monitored for synchronization, rate limits, archive requirements, and security exposure.</w:t>
      </w:r>
    </w:p>
    <w:p>
      <w:pPr>
        <w:ind w:left="288"/>
      </w:pPr>
      <w:r>
        <w:rPr>
          <w:b/>
          <w:color w:val="C99916"/>
        </w:rPr>
        <w:t>☐  Project allocation wallets, signers, purpose, lock conditions, and genesis balances independently verifiable.</w:t>
      </w:r>
    </w:p>
    <w:p>
      <w:pPr>
        <w:ind w:left="288"/>
      </w:pPr>
      <w:r>
        <w:rPr>
          <w:b/>
          <w:color w:val="C99916"/>
        </w:rPr>
        <w:t>☐  Octa/Core-Geth fork history, licenses, renamed identifiers, signed releases, and reproducible build instructions published.</w:t>
      </w:r>
    </w:p>
    <w:tbl>
      <w:tblPr>
        <w:tblW w:type="auto" w:w="0"/>
        <w:jc w:val="center"/>
        <w:tblLook w:firstColumn="1" w:firstRow="1" w:lastColumn="0" w:lastRow="0" w:noHBand="0" w:noVBand="1" w:val="04A0"/>
      </w:tblPr>
      <w:tblGrid>
        <w:gridCol w:w="10166"/>
      </w:tblGrid>
      <w:tr>
        <w:tc>
          <w:tcPr>
            <w:tcW w:type="dxa" w:w="10166"/>
            <w:shd w:fill="FFF7D6"/>
            <w:tcMar>
              <w:top w:w="140" w:type="dxa"/>
              <w:start w:w="170" w:type="dxa"/>
              <w:bottom w:w="140" w:type="dxa"/>
              <w:end w:w="170" w:type="dxa"/>
            </w:tcMar>
          </w:tcPr>
          <w:p>
            <w:r>
              <w:t>End of Draft v0.3</w:t>
              <w:br/>
              <w:t>This document will be revised as testnet results, presale terms, technical reviews, security audits, public endpoints, and product milestones become available. Official updates should be obtained only from KpowBIT-controlled channels.</w:t>
            </w:r>
          </w:p>
        </w:tc>
      </w:tr>
    </w:tbl>
    <w:p>
      <w:pPr>
        <w:spacing w:after="0"/>
      </w:pPr>
    </w:p>
    <w:sectPr w:rsidR="00FC693F" w:rsidRPr="0006063C" w:rsidSect="00034616">
      <w:headerReference w:type="first" r:id="rId10"/>
      <w:footerReference w:type="first" r:id="rId11"/>
      <w:headerReference w:type="default" r:id="rId12"/>
      <w:footerReference w:type="default" r:id="rId13"/>
      <w:headerReference w:type="even" r:id="rId17"/>
      <w:pgSz w:w="12240" w:h="15840"/>
      <w:pgMar w:top="936" w:right="1037" w:bottom="936" w:left="1037"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DejaVu Sans" w:hAnsi="DejaVu Sans"/>
        <w:color w:val="5A6778"/>
        <w:sz w:val="15"/>
      </w:rPr>
      <w:t>kpowbit.com</w:t>
    </w:r>
    <w:r>
      <w:t xml:space="preserve">                                                          </w:t>
    </w:r>
    <w: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DejaVu Sans" w:hAnsi="DejaVu Sans"/>
        <w:b/>
        <w:color w:val="5A6778"/>
        <w:sz w:val="15"/>
      </w:rPr>
      <w:t>KPOW WHITEPAPER  ·  DRAFT v0.3</w:t>
    </w: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76" w:lineRule="auto"/>
    </w:pPr>
    <w:rPr>
      <w:rFonts w:ascii="DejaVu Sans" w:hAnsi="DejaVu Sans"/>
      <w:color w:val="1A2433"/>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60"/>
      <w:outlineLvl w:val="0"/>
    </w:pPr>
    <w:rPr>
      <w:rFonts w:asciiTheme="majorHAnsi" w:eastAsiaTheme="majorEastAsia" w:hAnsiTheme="majorHAnsi" w:cstheme="majorBidi" w:ascii="DejaVu Sans" w:hAnsi="DejaVu Sans"/>
      <w:b/>
      <w:bCs/>
      <w:color w:val="07111F"/>
      <w:sz w:val="44"/>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DejaVu Sans" w:hAnsi="DejaVu Sans"/>
      <w:b/>
      <w:bCs/>
      <w:color w:val="0B1728"/>
      <w:sz w:val="30"/>
      <w:szCs w:val="26"/>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Theme="majorHAnsi" w:eastAsiaTheme="majorEastAsia" w:hAnsiTheme="majorHAnsi" w:cstheme="majorBidi" w:ascii="DejaVu Sans" w:hAnsi="DejaVu Sans"/>
      <w:b/>
      <w:bCs/>
      <w:color w:val="C99916"/>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00" w:line="240" w:lineRule="auto" w:before="0"/>
      <w:contextualSpacing/>
    </w:pPr>
    <w:rPr>
      <w:rFonts w:asciiTheme="majorHAnsi" w:eastAsiaTheme="majorEastAsia" w:hAnsiTheme="majorHAnsi" w:cstheme="majorBidi" w:ascii="DejaVu Sans" w:hAnsi="DejaVu Sans"/>
      <w:b/>
      <w:color w:val="C99916"/>
      <w:spacing w:val="5"/>
      <w:kern w:val="28"/>
      <w:sz w:val="6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POWCallout">
    <w:name w:val="KPOW Callout"/>
    <w:pPr>
      <w:spacing w:before="100" w:after="140"/>
      <w:ind w:left="259" w:right="259"/>
    </w:pPr>
    <w:rPr>
      <w:rFonts w:ascii="DejaVu Sans" w:hAnsi="DejaVu Sans"/>
      <w:color w:val="232D3A"/>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image" Target="media/image2.png"/><Relationship Id="rId15" Type="http://schemas.openxmlformats.org/officeDocument/2006/relationships/image" Target="media/image3.png"/><Relationship Id="rId16" Type="http://schemas.openxmlformats.org/officeDocument/2006/relationships/image" Target="media/image4.png"/><Relationship Id="rId17"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KPOW Whitepaper - Draft v0.3</dc:title>
  <dc:subject>KPOW Network, KpowBIT Exchange, and Mining Rental technical and product design</dc:subject>
  <dc:creator>KpowBIT</dc:creator>
  <cp:keywords>KPOW, KpowBIT, Proof of Work, Ethash, EVM, mining, exchange, rental</cp:keywords>
  <dc:description>Draft v0.3 - July 2026</dc:description>
  <cp:lastModifiedBy/>
  <cp:revision>1</cp:revision>
  <dcterms:created xsi:type="dcterms:W3CDTF">2013-12-23T23:15:00Z</dcterms:created>
  <dcterms:modified xsi:type="dcterms:W3CDTF">2013-12-23T23:15:00Z</dcterms:modified>
  <cp:category/>
</cp:coreProperties>
</file>